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995" w:rsidRPr="00E02995" w:rsidRDefault="00E02995" w:rsidP="00E0299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proofErr w:type="gramStart"/>
      <w:r w:rsidRPr="00E0299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</w:t>
      </w:r>
      <w:proofErr w:type="gramEnd"/>
      <w:r w:rsidRPr="00E0299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А С П О Р Т</w:t>
      </w:r>
      <w:r w:rsidRPr="00E02995">
        <w:rPr>
          <w:rFonts w:ascii="Times New Roman" w:eastAsia="Times New Roman" w:hAnsi="Times New Roman" w:cs="Times New Roman"/>
          <w:b/>
          <w:bCs/>
          <w:sz w:val="26"/>
          <w:szCs w:val="26"/>
          <w:vertAlign w:val="superscript"/>
          <w:lang w:eastAsia="ru-RU"/>
        </w:rPr>
        <w:t> </w:t>
      </w:r>
      <w:r w:rsidRPr="00E0299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государственной программы  Чувашской Республики</w:t>
      </w:r>
      <w:r w:rsidRPr="00E0299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«Управление общественными финансами и государственным долгом Чувашской Республики»</w:t>
      </w:r>
      <w:r w:rsidRPr="00E02995">
        <w:rPr>
          <w:rFonts w:ascii="Times New Roman" w:eastAsia="Times New Roman" w:hAnsi="Times New Roman" w:cs="Times New Roman"/>
          <w:b/>
          <w:bCs/>
          <w:sz w:val="26"/>
          <w:szCs w:val="26"/>
          <w:vertAlign w:val="superscript"/>
          <w:lang w:eastAsia="ru-RU"/>
        </w:rPr>
        <w:t> </w:t>
      </w:r>
    </w:p>
    <w:p w:rsidR="00E02995" w:rsidRPr="00E02995" w:rsidRDefault="00E02995" w:rsidP="00E0299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E02995" w:rsidRPr="00E02995" w:rsidRDefault="00E02995" w:rsidP="00E0299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0299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Основные положения</w:t>
      </w:r>
    </w:p>
    <w:p w:rsidR="00E02995" w:rsidRPr="00E02995" w:rsidRDefault="00E02995" w:rsidP="00E029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4940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8136"/>
      </w:tblGrid>
      <w:tr w:rsidR="00E02995" w:rsidRPr="00E02995" w:rsidTr="00E1390F">
        <w:tc>
          <w:tcPr>
            <w:tcW w:w="6804" w:type="dxa"/>
          </w:tcPr>
          <w:p w:rsidR="00E02995" w:rsidRPr="00E02995" w:rsidRDefault="00E02995" w:rsidP="00E02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Куратор Государственной программы  </w:t>
            </w:r>
          </w:p>
        </w:tc>
        <w:tc>
          <w:tcPr>
            <w:tcW w:w="8136" w:type="dxa"/>
          </w:tcPr>
          <w:p w:rsidR="00E02995" w:rsidRPr="00E02995" w:rsidRDefault="00E02995" w:rsidP="00E029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заместитель Председателя Кабинета Министров Чувашской Республики – министр финансов Чувашской Республики М.Г. </w:t>
            </w:r>
            <w:proofErr w:type="spellStart"/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Ноздряков</w:t>
            </w:r>
            <w:proofErr w:type="spellEnd"/>
          </w:p>
        </w:tc>
      </w:tr>
      <w:tr w:rsidR="00E02995" w:rsidRPr="00E02995" w:rsidTr="00E1390F">
        <w:tc>
          <w:tcPr>
            <w:tcW w:w="6804" w:type="dxa"/>
          </w:tcPr>
          <w:p w:rsidR="00E02995" w:rsidRPr="00E02995" w:rsidRDefault="00E02995" w:rsidP="00E02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Государственной программы  </w:t>
            </w:r>
          </w:p>
        </w:tc>
        <w:tc>
          <w:tcPr>
            <w:tcW w:w="8136" w:type="dxa"/>
          </w:tcPr>
          <w:p w:rsidR="00E02995" w:rsidRPr="00E02995" w:rsidRDefault="00E02995" w:rsidP="00E02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финансов Чувашской Республики</w:t>
            </w:r>
          </w:p>
        </w:tc>
      </w:tr>
      <w:tr w:rsidR="00E02995" w:rsidRPr="00E02995" w:rsidTr="00E1390F">
        <w:tc>
          <w:tcPr>
            <w:tcW w:w="6804" w:type="dxa"/>
          </w:tcPr>
          <w:p w:rsidR="00E02995" w:rsidRPr="00E02995" w:rsidRDefault="00E02995" w:rsidP="00E02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Соисполнители Государственной программы </w:t>
            </w:r>
          </w:p>
        </w:tc>
        <w:tc>
          <w:tcPr>
            <w:tcW w:w="8136" w:type="dxa"/>
          </w:tcPr>
          <w:p w:rsidR="00E02995" w:rsidRPr="00E02995" w:rsidRDefault="00E02995" w:rsidP="00E02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образования Чувашской Республики; </w:t>
            </w:r>
          </w:p>
          <w:p w:rsidR="00E02995" w:rsidRPr="00E02995" w:rsidRDefault="00E02995" w:rsidP="00E02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служба Чувашской Республики по конкурентной политике и тарифам; </w:t>
            </w:r>
          </w:p>
          <w:p w:rsidR="00E02995" w:rsidRPr="00E02995" w:rsidRDefault="00E02995" w:rsidP="00E02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Чувашской Республики (по согласованию);</w:t>
            </w:r>
          </w:p>
          <w:p w:rsidR="00E02995" w:rsidRPr="00E02995" w:rsidRDefault="00E02995" w:rsidP="00E02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казенное учреждение Чувашской Республики «Республиканский центр бухгалтерского учета»</w:t>
            </w:r>
          </w:p>
        </w:tc>
      </w:tr>
      <w:tr w:rsidR="00E02995" w:rsidRPr="00E02995" w:rsidTr="00E1390F">
        <w:tc>
          <w:tcPr>
            <w:tcW w:w="6804" w:type="dxa"/>
          </w:tcPr>
          <w:p w:rsidR="00E02995" w:rsidRPr="00E02995" w:rsidRDefault="00E02995" w:rsidP="00E02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Участники Государственной программы </w:t>
            </w:r>
          </w:p>
        </w:tc>
        <w:tc>
          <w:tcPr>
            <w:tcW w:w="8136" w:type="dxa"/>
          </w:tcPr>
          <w:p w:rsidR="00E02995" w:rsidRPr="00E02995" w:rsidRDefault="00E02995" w:rsidP="00E02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культуры, по делам национальностей и архивного дела Чувашской Республики;</w:t>
            </w:r>
          </w:p>
          <w:p w:rsidR="00E02995" w:rsidRPr="00E02995" w:rsidRDefault="00E02995" w:rsidP="00E02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труда и социальной защиты Чувашской Республики;</w:t>
            </w:r>
          </w:p>
          <w:p w:rsidR="00E02995" w:rsidRPr="00E02995" w:rsidRDefault="00E02995" w:rsidP="00E02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цифрового развития, информационной политики и массовых коммуникаций Чувашской Республики;</w:t>
            </w:r>
          </w:p>
          <w:p w:rsidR="00E02995" w:rsidRPr="00E02995" w:rsidRDefault="00E02995" w:rsidP="00E02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экономического развития и имущественных отношений Чувашской Республики;</w:t>
            </w:r>
          </w:p>
          <w:p w:rsidR="00E02995" w:rsidRPr="00E02995" w:rsidRDefault="00E02995" w:rsidP="00E02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внутренних дел по Чувашской Республике (по согласованию);</w:t>
            </w:r>
          </w:p>
          <w:p w:rsidR="00E02995" w:rsidRPr="00E02995" w:rsidRDefault="00E02995" w:rsidP="00E02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Федеральной налоговой службы по Чувашской Республике (по согласованию);</w:t>
            </w:r>
          </w:p>
          <w:p w:rsidR="00E02995" w:rsidRPr="00E02995" w:rsidRDefault="00E02995" w:rsidP="00E02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Федеральной службы по надзору в сфере защиты прав потребителей и благополучия человека по Чувашской Республике – Чувашии (по согласованию);</w:t>
            </w:r>
          </w:p>
          <w:p w:rsidR="00E02995" w:rsidRPr="00E02995" w:rsidRDefault="00E02995" w:rsidP="00E02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 – Национальный банк по Чувашской Республике Волго-Вятского главного управления Центрального банка Российской Федерации (по согласованию);</w:t>
            </w:r>
          </w:p>
          <w:p w:rsidR="00E02995" w:rsidRPr="00E02995" w:rsidRDefault="00E02995" w:rsidP="00E02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 Фонда пенсионного и социального страхования Российской Федерации по Чувашской Республике – Чувашии (по согласованию);</w:t>
            </w:r>
          </w:p>
          <w:p w:rsidR="00E02995" w:rsidRPr="00E02995" w:rsidRDefault="00E02995" w:rsidP="00E02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муниципальных округов и городских округов Чувашской Республики (по согласованию)</w:t>
            </w:r>
          </w:p>
        </w:tc>
      </w:tr>
      <w:tr w:rsidR="00E02995" w:rsidRPr="00E02995" w:rsidTr="00E1390F">
        <w:tc>
          <w:tcPr>
            <w:tcW w:w="6804" w:type="dxa"/>
          </w:tcPr>
          <w:p w:rsidR="00E02995" w:rsidRPr="00E02995" w:rsidRDefault="00E02995" w:rsidP="00E02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 (подпрограммы)</w:t>
            </w: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8136" w:type="dxa"/>
          </w:tcPr>
          <w:p w:rsidR="00E02995" w:rsidRPr="00E02995" w:rsidRDefault="00E02995" w:rsidP="00E02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E02995" w:rsidRPr="00E02995" w:rsidTr="00E1390F">
        <w:tc>
          <w:tcPr>
            <w:tcW w:w="6804" w:type="dxa"/>
          </w:tcPr>
          <w:p w:rsidR="00E02995" w:rsidRPr="00E02995" w:rsidRDefault="00E02995" w:rsidP="00E02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Государственной программы  </w:t>
            </w:r>
          </w:p>
        </w:tc>
        <w:tc>
          <w:tcPr>
            <w:tcW w:w="8136" w:type="dxa"/>
          </w:tcPr>
          <w:p w:rsidR="00E02995" w:rsidRPr="00E02995" w:rsidRDefault="00E02995" w:rsidP="00E02995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1 – обеспечение динамичного развития экономики Чувашской Республики, повышения уровня жизни населения и формирования благоприятных условий жизнедеятельности в Чувашской Республике за счет соблюдения долгосрочных принципов устойчивости и сбалансированности консолидированного бюджета Чувашской Республики; </w:t>
            </w:r>
          </w:p>
          <w:p w:rsidR="00E02995" w:rsidRPr="00E02995" w:rsidRDefault="00E02995" w:rsidP="00E02995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2 – повышение эффективности бюджетных расходов Чувашской Республики на основе дальнейшего совершенствования бюджетных правоотношений и механизмов использования бюджетных средств;</w:t>
            </w:r>
          </w:p>
          <w:p w:rsidR="00E02995" w:rsidRPr="00E02995" w:rsidRDefault="00E02995" w:rsidP="00E02995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3 – обеспечение доли просроченной кредиторской задолженности республиканского бюджета Чувашской Республики и местных бюджетов в расходах консолидированного бюджета Чувашской Республики к 2035 году – 0,0%;</w:t>
            </w:r>
          </w:p>
          <w:p w:rsidR="00E02995" w:rsidRPr="00E02995" w:rsidRDefault="00E02995" w:rsidP="00E02995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4 – отклонение в уровнях бюджетной обеспеченности между наиболее и наименее обеспеченными муниципальными округами и городскими округами Чувашской Республики к 2035 году – не более 1,3 раза;</w:t>
            </w:r>
          </w:p>
          <w:p w:rsidR="00E02995" w:rsidRPr="00E02995" w:rsidRDefault="00E02995" w:rsidP="00E02995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5 – обеспечение отношения государственного долга Чувашской Республики к доходам республиканского бюджета Чувашской Республики (без учета объема безвозмездных поступлений) к 2035 году на уровне не более 50%;</w:t>
            </w:r>
          </w:p>
          <w:p w:rsidR="00E02995" w:rsidRPr="00E02995" w:rsidRDefault="00E02995" w:rsidP="00E02995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6 – обеспечение роста налоговых и неналоговых доходов консолидированного бюджета Чувашской Республики ежегодно по отношению к отчетному году не менее чем на 0,1%;</w:t>
            </w:r>
          </w:p>
          <w:p w:rsidR="00E02995" w:rsidRPr="00E02995" w:rsidRDefault="00E02995" w:rsidP="00E02995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7 – обеспечение </w:t>
            </w:r>
            <w:proofErr w:type="gramStart"/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индекса уровня финансовой грамотности населения Чувашской Республики</w:t>
            </w:r>
            <w:proofErr w:type="gramEnd"/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2035 году – не менее 62 баллов</w:t>
            </w:r>
          </w:p>
        </w:tc>
      </w:tr>
      <w:tr w:rsidR="00E02995" w:rsidRPr="00E02995" w:rsidTr="00E1390F">
        <w:tc>
          <w:tcPr>
            <w:tcW w:w="6804" w:type="dxa"/>
          </w:tcPr>
          <w:p w:rsidR="00E02995" w:rsidRPr="00E02995" w:rsidRDefault="00E02995" w:rsidP="00E02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 этапы реализации Государственной программы</w:t>
            </w: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8136" w:type="dxa"/>
          </w:tcPr>
          <w:p w:rsidR="00E02995" w:rsidRPr="00E02995" w:rsidRDefault="00E02995" w:rsidP="00E02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2019–2035 годы:</w:t>
            </w:r>
          </w:p>
          <w:p w:rsidR="00E02995" w:rsidRPr="00E02995" w:rsidRDefault="00E02995" w:rsidP="00E02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этап: 2019–2023 годы;</w:t>
            </w:r>
          </w:p>
          <w:p w:rsidR="00E02995" w:rsidRPr="00E02995" w:rsidRDefault="00E02995" w:rsidP="00E02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 этап: 2024–2030 годы;</w:t>
            </w:r>
          </w:p>
          <w:p w:rsidR="00E02995" w:rsidRPr="00E02995" w:rsidRDefault="00E02995" w:rsidP="00E02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этап: 2031–2035 годы</w:t>
            </w:r>
          </w:p>
        </w:tc>
      </w:tr>
      <w:tr w:rsidR="00E02995" w:rsidRPr="00E02995" w:rsidTr="00E1390F">
        <w:tc>
          <w:tcPr>
            <w:tcW w:w="6804" w:type="dxa"/>
          </w:tcPr>
          <w:p w:rsidR="00E02995" w:rsidRPr="00E02995" w:rsidRDefault="00E02995" w:rsidP="00E02995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финансового обеспечения Государственной программы за весь период реализации и с разбивкой по годам реализации </w:t>
            </w: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8136" w:type="dxa"/>
          </w:tcPr>
          <w:p w:rsidR="00E02995" w:rsidRPr="00E02995" w:rsidRDefault="00E02995" w:rsidP="00E02995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прогнозируемый объем финансирования Государственной программы в 2019–2035 годах составляет 88069519,9 тыс. рублей, в том числе: </w:t>
            </w:r>
          </w:p>
          <w:p w:rsidR="00E02995" w:rsidRPr="00E02995" w:rsidRDefault="00E02995" w:rsidP="00E02995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2019–2023 годах – 19114480,2 тыс. рублей;</w:t>
            </w:r>
          </w:p>
          <w:p w:rsidR="00E02995" w:rsidRPr="00E02995" w:rsidRDefault="00E02995" w:rsidP="00E02995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2024 году – 9179678,0 тыс. рублей; </w:t>
            </w:r>
          </w:p>
          <w:p w:rsidR="00E02995" w:rsidRPr="00E02995" w:rsidRDefault="00E02995" w:rsidP="00E02995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2025 году – 5327882,2 тыс. рублей; </w:t>
            </w:r>
          </w:p>
          <w:p w:rsidR="00E02995" w:rsidRPr="00E02995" w:rsidRDefault="00E02995" w:rsidP="00E02995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2026 году – 5446003,7 тыс. рублей;</w:t>
            </w:r>
          </w:p>
          <w:p w:rsidR="00E02995" w:rsidRPr="00E02995" w:rsidRDefault="00E02995" w:rsidP="00E02995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2027–2030 годах – 21783494,8 тыс. рублей; </w:t>
            </w:r>
          </w:p>
          <w:p w:rsidR="00E02995" w:rsidRPr="00E02995" w:rsidRDefault="00E02995" w:rsidP="00E02995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2031–2035 годах – 27217981,0 тыс. рублей</w:t>
            </w:r>
          </w:p>
        </w:tc>
      </w:tr>
      <w:tr w:rsidR="00E02995" w:rsidRPr="00E02995" w:rsidTr="00E1390F">
        <w:tc>
          <w:tcPr>
            <w:tcW w:w="6804" w:type="dxa"/>
          </w:tcPr>
          <w:p w:rsidR="00E02995" w:rsidRPr="00E02995" w:rsidRDefault="00E02995" w:rsidP="00E02995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национальными целями развития Российской Федерации, целями Стратегии социально-экономического развития Чувашской Республики до 2035 года</w:t>
            </w:r>
            <w:r w:rsidRPr="00E0299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, </w:t>
            </w: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государственной программой</w:t>
            </w:r>
            <w:r w:rsidRPr="00E0299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</w:t>
            </w:r>
            <w:r w:rsidRPr="00E0299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Федерации</w:t>
            </w:r>
          </w:p>
        </w:tc>
        <w:tc>
          <w:tcPr>
            <w:tcW w:w="8136" w:type="dxa"/>
          </w:tcPr>
          <w:p w:rsidR="00E02995" w:rsidRPr="00E02995" w:rsidRDefault="00E02995" w:rsidP="00E02995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Российской Федерации «Развитие федеративных отношений и создание условий для эффективного и ответственного управления региональными и муниципальными финансами»</w:t>
            </w:r>
          </w:p>
        </w:tc>
      </w:tr>
    </w:tbl>
    <w:p w:rsidR="00E02995" w:rsidRPr="00E02995" w:rsidRDefault="00E02995" w:rsidP="00E02995">
      <w:pPr>
        <w:widowControl w:val="0"/>
        <w:autoSpaceDE w:val="0"/>
        <w:autoSpaceDN w:val="0"/>
        <w:adjustRightInd w:val="0"/>
        <w:spacing w:after="0" w:line="23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E02995" w:rsidRPr="00E02995" w:rsidRDefault="00E02995" w:rsidP="00E0299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3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0299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2. Показатели государственной программы Чувашской Республики «Управление общественными финансами </w:t>
      </w:r>
    </w:p>
    <w:p w:rsidR="00E02995" w:rsidRPr="00E02995" w:rsidRDefault="00E02995" w:rsidP="00E0299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3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0299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 государственным долгом Чувашской Республики»</w:t>
      </w:r>
    </w:p>
    <w:p w:rsidR="00E02995" w:rsidRPr="00E02995" w:rsidRDefault="00E02995" w:rsidP="00E02995">
      <w:pPr>
        <w:widowControl w:val="0"/>
        <w:autoSpaceDE w:val="0"/>
        <w:autoSpaceDN w:val="0"/>
        <w:adjustRightInd w:val="0"/>
        <w:spacing w:after="0" w:line="23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1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16"/>
        <w:gridCol w:w="1016"/>
        <w:gridCol w:w="862"/>
        <w:gridCol w:w="782"/>
        <w:gridCol w:w="822"/>
        <w:gridCol w:w="580"/>
        <w:gridCol w:w="635"/>
        <w:gridCol w:w="715"/>
        <w:gridCol w:w="601"/>
        <w:gridCol w:w="562"/>
        <w:gridCol w:w="598"/>
        <w:gridCol w:w="601"/>
        <w:gridCol w:w="1430"/>
        <w:gridCol w:w="1077"/>
        <w:gridCol w:w="1080"/>
        <w:gridCol w:w="945"/>
        <w:gridCol w:w="1043"/>
      </w:tblGrid>
      <w:tr w:rsidR="00E02995" w:rsidRPr="00E02995" w:rsidTr="00E1390F">
        <w:tc>
          <w:tcPr>
            <w:tcW w:w="15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  <w:r w:rsidRPr="00E02995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Уровень </w:t>
            </w:r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пока-</w:t>
            </w:r>
            <w:proofErr w:type="spell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зателя</w:t>
            </w:r>
            <w:proofErr w:type="spellEnd"/>
            <w:proofErr w:type="gramEnd"/>
            <w:r w:rsidRPr="00E02995">
              <w:rPr>
                <w:rFonts w:ascii="Times New Roman" w:eastAsia="Times New Roman" w:hAnsi="Times New Roman" w:cs="Times New Roman"/>
                <w:color w:val="000000"/>
                <w:szCs w:val="20"/>
                <w:vertAlign w:val="superscript"/>
                <w:lang w:val="en-US" w:eastAsia="ru-RU"/>
              </w:rPr>
              <w:footnoteReference w:id="1"/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Приз-</w:t>
            </w:r>
            <w:proofErr w:type="spell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нак</w:t>
            </w:r>
            <w:proofErr w:type="spellEnd"/>
            <w:proofErr w:type="gramEnd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возрас-тания</w:t>
            </w:r>
            <w:proofErr w:type="spellEnd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/ </w:t>
            </w:r>
            <w:proofErr w:type="spell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убыва-ния</w:t>
            </w:r>
            <w:proofErr w:type="spellEnd"/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Еди-ница</w:t>
            </w:r>
            <w:proofErr w:type="spellEnd"/>
            <w:proofErr w:type="gramEnd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изме</w:t>
            </w:r>
            <w:proofErr w:type="spellEnd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-рения (по  </w:t>
            </w:r>
            <w:hyperlink r:id="rId8" w:history="1">
              <w:r w:rsidRPr="00E02995">
                <w:rPr>
                  <w:rFonts w:ascii="Times New Roman" w:eastAsia="Times New Roman" w:hAnsi="Times New Roman" w:cs="Times New Roman"/>
                  <w:spacing w:val="-2"/>
                  <w:lang w:eastAsia="ru-RU"/>
                </w:rPr>
                <w:t>ОКЕИ</w:t>
              </w:r>
            </w:hyperlink>
            <w:r w:rsidRPr="00E02995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)</w:t>
            </w: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4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Базовое значение</w:t>
            </w:r>
          </w:p>
        </w:tc>
        <w:tc>
          <w:tcPr>
            <w:tcW w:w="121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Значения показателя по годам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Документ</w:t>
            </w:r>
            <w:r w:rsidRPr="00E02995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 за достижение показателя</w:t>
            </w:r>
            <w:r w:rsidRPr="00E02995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Связь с показателями национальных целей развития, целей Стратегии </w:t>
            </w:r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до</w:t>
            </w:r>
            <w:proofErr w:type="gramEnd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2035 года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Приз-</w:t>
            </w:r>
            <w:proofErr w:type="spell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нак</w:t>
            </w:r>
            <w:proofErr w:type="spellEnd"/>
            <w:proofErr w:type="gramEnd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реали-зации</w:t>
            </w:r>
            <w:proofErr w:type="spellEnd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 в </w:t>
            </w:r>
            <w:proofErr w:type="spell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муни-ципаль-ных</w:t>
            </w:r>
            <w:proofErr w:type="spellEnd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образо-ваниях</w:t>
            </w:r>
            <w:proofErr w:type="spellEnd"/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Информа-ционная</w:t>
            </w:r>
            <w:proofErr w:type="spellEnd"/>
            <w:proofErr w:type="gramEnd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 система</w:t>
            </w:r>
          </w:p>
        </w:tc>
      </w:tr>
      <w:tr w:rsidR="00E02995" w:rsidRPr="00E02995" w:rsidTr="00E1390F">
        <w:trPr>
          <w:cantSplit/>
          <w:trHeight w:val="1134"/>
        </w:trPr>
        <w:tc>
          <w:tcPr>
            <w:tcW w:w="155" w:type="pct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02995" w:rsidRPr="00E02995" w:rsidRDefault="00E02995" w:rsidP="00E02995">
            <w:pPr>
              <w:spacing w:after="0" w:line="228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02995" w:rsidRPr="00E02995" w:rsidRDefault="00E02995" w:rsidP="00E02995">
            <w:pPr>
              <w:spacing w:after="0" w:line="228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02995" w:rsidRPr="00E02995" w:rsidRDefault="00E02995" w:rsidP="00E02995">
            <w:pPr>
              <w:spacing w:after="0" w:line="228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vMerge/>
            <w:tcBorders>
              <w:left w:val="single" w:sz="4" w:space="0" w:color="auto"/>
              <w:bottom w:val="nil"/>
              <w:right w:val="nil"/>
            </w:tcBorders>
          </w:tcPr>
          <w:p w:rsidR="00E02995" w:rsidRPr="00E02995" w:rsidRDefault="00E02995" w:rsidP="00E02995">
            <w:pPr>
              <w:spacing w:after="0" w:line="228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02995" w:rsidRPr="00E02995" w:rsidRDefault="00E02995" w:rsidP="00E02995">
            <w:pPr>
              <w:spacing w:after="0" w:line="228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02995" w:rsidRPr="00E02995" w:rsidRDefault="00E02995" w:rsidP="00E02995">
            <w:pPr>
              <w:spacing w:after="0" w:line="228" w:lineRule="auto"/>
              <w:ind w:right="-10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значение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2035</w:t>
            </w: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02995" w:rsidRPr="00E02995" w:rsidRDefault="00E02995" w:rsidP="00E02995">
            <w:pPr>
              <w:spacing w:after="0" w:line="228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02995" w:rsidRPr="00E02995" w:rsidRDefault="00E02995" w:rsidP="00E02995">
            <w:pPr>
              <w:spacing w:after="0" w:line="228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02995" w:rsidRPr="00E02995" w:rsidRDefault="00E02995" w:rsidP="00E02995">
            <w:pPr>
              <w:spacing w:after="0" w:line="228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02995" w:rsidRPr="00E02995" w:rsidRDefault="00E02995" w:rsidP="00E02995">
            <w:pPr>
              <w:spacing w:after="0" w:line="228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02995" w:rsidRPr="00E02995" w:rsidRDefault="00E02995" w:rsidP="00E02995">
            <w:pPr>
              <w:spacing w:after="0" w:line="228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02995" w:rsidRPr="00E02995" w:rsidRDefault="00E02995" w:rsidP="00E02995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5188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1402"/>
        <w:gridCol w:w="74"/>
        <w:gridCol w:w="9"/>
        <w:gridCol w:w="1013"/>
        <w:gridCol w:w="868"/>
        <w:gridCol w:w="782"/>
        <w:gridCol w:w="828"/>
        <w:gridCol w:w="583"/>
        <w:gridCol w:w="629"/>
        <w:gridCol w:w="706"/>
        <w:gridCol w:w="71"/>
        <w:gridCol w:w="534"/>
        <w:gridCol w:w="571"/>
        <w:gridCol w:w="598"/>
        <w:gridCol w:w="604"/>
        <w:gridCol w:w="1415"/>
        <w:gridCol w:w="1086"/>
        <w:gridCol w:w="1080"/>
        <w:gridCol w:w="945"/>
        <w:gridCol w:w="1043"/>
      </w:tblGrid>
      <w:tr w:rsidR="00E02995" w:rsidRPr="00E02995" w:rsidTr="00E1390F">
        <w:trPr>
          <w:tblHeader/>
        </w:trPr>
        <w:tc>
          <w:tcPr>
            <w:tcW w:w="163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81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33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3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5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05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3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7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8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95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61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5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52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08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4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</w:tr>
      <w:tr w:rsidR="00E02995" w:rsidRPr="00E02995" w:rsidTr="00E1390F">
        <w:tc>
          <w:tcPr>
            <w:tcW w:w="163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37" w:type="pct"/>
            <w:gridSpan w:val="20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Цель 1 – обеспечение динамичного развития экономики Чувашской Республики, повышения уровня жизни населения и формирования благоприятных условий жизнедеятельности в Чувашской Республике за счет соблюдения долгосрочных принципов устойчивости и сбалансированности консолидированного бюджета Чувашской Республики</w:t>
            </w:r>
          </w:p>
        </w:tc>
      </w:tr>
      <w:tr w:rsidR="00E02995" w:rsidRPr="00E02995" w:rsidTr="00E1390F">
        <w:tc>
          <w:tcPr>
            <w:tcW w:w="163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81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Отношение дефицита республиканского бюджета Чувашской Республики к доходам республиканского бюджета Чувашской Республики (без учета безвозмездных поступлений) </w:t>
            </w:r>
          </w:p>
        </w:tc>
        <w:tc>
          <w:tcPr>
            <w:tcW w:w="333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ГП</w:t>
            </w:r>
          </w:p>
        </w:tc>
        <w:tc>
          <w:tcPr>
            <w:tcW w:w="283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убывание</w:t>
            </w:r>
          </w:p>
        </w:tc>
        <w:tc>
          <w:tcPr>
            <w:tcW w:w="255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про-цен</w:t>
            </w: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softHyphen/>
              <w:t>тов</w:t>
            </w:r>
            <w:proofErr w:type="gramEnd"/>
          </w:p>
        </w:tc>
        <w:tc>
          <w:tcPr>
            <w:tcW w:w="27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205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3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97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8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95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9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61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Закон Чувашской Республики от 26.11.2020 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№ 102</w:t>
            </w:r>
          </w:p>
        </w:tc>
        <w:tc>
          <w:tcPr>
            <w:tcW w:w="35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Минфин Чувашии</w:t>
            </w:r>
          </w:p>
        </w:tc>
        <w:tc>
          <w:tcPr>
            <w:tcW w:w="352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обеспечение темпа роста валового внутреннего продукта страны выше среднемирового при сохранении макроэкономической стабильности</w:t>
            </w:r>
          </w:p>
        </w:tc>
        <w:tc>
          <w:tcPr>
            <w:tcW w:w="308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34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официальный сайт Минфина Чувашии</w:t>
            </w:r>
          </w:p>
        </w:tc>
      </w:tr>
      <w:tr w:rsidR="00E02995" w:rsidRPr="00E02995" w:rsidTr="00E1390F">
        <w:tc>
          <w:tcPr>
            <w:tcW w:w="163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37" w:type="pct"/>
            <w:gridSpan w:val="20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Цель 2 – повышение эффективности бюджетных расходов Чувашской Республики на основе дальнейшего совершенствования бюджетных правоотношений и механизмов использования бюджетных средств</w:t>
            </w:r>
          </w:p>
        </w:tc>
      </w:tr>
      <w:tr w:rsidR="00E02995" w:rsidRPr="00E02995" w:rsidTr="00E1390F">
        <w:tc>
          <w:tcPr>
            <w:tcW w:w="163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481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Средний показатель качества финансового менеджмента главных администраторов средств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республиканского бюджета Чувашской Республики</w:t>
            </w:r>
          </w:p>
        </w:tc>
        <w:tc>
          <w:tcPr>
            <w:tcW w:w="333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ГП</w:t>
            </w:r>
          </w:p>
        </w:tc>
        <w:tc>
          <w:tcPr>
            <w:tcW w:w="283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возрастание</w:t>
            </w:r>
          </w:p>
        </w:tc>
        <w:tc>
          <w:tcPr>
            <w:tcW w:w="255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баллов</w:t>
            </w:r>
          </w:p>
        </w:tc>
        <w:tc>
          <w:tcPr>
            <w:tcW w:w="27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84,6</w:t>
            </w:r>
          </w:p>
        </w:tc>
        <w:tc>
          <w:tcPr>
            <w:tcW w:w="19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205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84,6</w:t>
            </w:r>
          </w:p>
        </w:tc>
        <w:tc>
          <w:tcPr>
            <w:tcW w:w="23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84,7</w:t>
            </w:r>
          </w:p>
        </w:tc>
        <w:tc>
          <w:tcPr>
            <w:tcW w:w="197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84,8</w:t>
            </w:r>
          </w:p>
        </w:tc>
        <w:tc>
          <w:tcPr>
            <w:tcW w:w="18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84,9</w:t>
            </w:r>
          </w:p>
        </w:tc>
        <w:tc>
          <w:tcPr>
            <w:tcW w:w="195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  <w:tc>
          <w:tcPr>
            <w:tcW w:w="19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  <w:tc>
          <w:tcPr>
            <w:tcW w:w="461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Закон Чувашской Республики от 26.11.2020 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№ 102</w:t>
            </w:r>
          </w:p>
        </w:tc>
        <w:tc>
          <w:tcPr>
            <w:tcW w:w="35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Минфин Чувашии</w:t>
            </w:r>
          </w:p>
        </w:tc>
        <w:tc>
          <w:tcPr>
            <w:tcW w:w="352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34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официальный сайт Минфина Чувашии</w:t>
            </w:r>
          </w:p>
        </w:tc>
      </w:tr>
      <w:tr w:rsidR="00E02995" w:rsidRPr="00E02995" w:rsidTr="00E1390F">
        <w:tc>
          <w:tcPr>
            <w:tcW w:w="163" w:type="pct"/>
          </w:tcPr>
          <w:p w:rsidR="00E02995" w:rsidRPr="00E02995" w:rsidRDefault="00E02995" w:rsidP="00E02995">
            <w:pPr>
              <w:keepNext/>
              <w:pageBreakBefore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37" w:type="pct"/>
            <w:gridSpan w:val="20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Цель 3 – обеспечение доли просроченной кредиторской задолженности республиканского бюджета Чувашской Республики и местных бюджетов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в расходах консолидированного бюджета Чувашской Республики к 2035 году – 0,0%</w:t>
            </w:r>
          </w:p>
        </w:tc>
      </w:tr>
      <w:tr w:rsidR="00E02995" w:rsidRPr="00E02995" w:rsidTr="00E1390F">
        <w:tc>
          <w:tcPr>
            <w:tcW w:w="163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484" w:type="pct"/>
            <w:gridSpan w:val="3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Доля просроченной кредиторской задолженности республиканского бюджета Чувашской Республики и местных бюджетов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в расходах консолидированного бюджета Чувашской Республики </w:t>
            </w:r>
          </w:p>
        </w:tc>
        <w:tc>
          <w:tcPr>
            <w:tcW w:w="33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ГП РФ</w:t>
            </w:r>
          </w:p>
        </w:tc>
        <w:tc>
          <w:tcPr>
            <w:tcW w:w="283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убывание</w:t>
            </w:r>
          </w:p>
        </w:tc>
        <w:tc>
          <w:tcPr>
            <w:tcW w:w="255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про-центов</w:t>
            </w:r>
            <w:proofErr w:type="gramEnd"/>
          </w:p>
        </w:tc>
        <w:tc>
          <w:tcPr>
            <w:tcW w:w="27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0,26</w:t>
            </w:r>
          </w:p>
        </w:tc>
        <w:tc>
          <w:tcPr>
            <w:tcW w:w="19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205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0,24</w:t>
            </w:r>
          </w:p>
        </w:tc>
        <w:tc>
          <w:tcPr>
            <w:tcW w:w="23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0,22</w:t>
            </w:r>
          </w:p>
        </w:tc>
        <w:tc>
          <w:tcPr>
            <w:tcW w:w="197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0,20</w:t>
            </w:r>
          </w:p>
        </w:tc>
        <w:tc>
          <w:tcPr>
            <w:tcW w:w="18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0,18</w:t>
            </w:r>
          </w:p>
        </w:tc>
        <w:tc>
          <w:tcPr>
            <w:tcW w:w="195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0,10</w:t>
            </w:r>
          </w:p>
        </w:tc>
        <w:tc>
          <w:tcPr>
            <w:tcW w:w="19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1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постановление Правительства Российской Федерации от 18.05.2016 № 445</w:t>
            </w:r>
          </w:p>
        </w:tc>
        <w:tc>
          <w:tcPr>
            <w:tcW w:w="35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Минфин Чувашии</w:t>
            </w:r>
          </w:p>
        </w:tc>
        <w:tc>
          <w:tcPr>
            <w:tcW w:w="352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8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34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официальный сайт Минфина Чувашии</w:t>
            </w:r>
          </w:p>
        </w:tc>
      </w:tr>
      <w:tr w:rsidR="00E02995" w:rsidRPr="00E02995" w:rsidTr="00E1390F">
        <w:tc>
          <w:tcPr>
            <w:tcW w:w="163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37" w:type="pct"/>
            <w:gridSpan w:val="20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4 – отклонение в уровнях бюджетной обеспеченности между наиболее и наименее обеспеченными муниципальными округами и городскими округами Чувашской Республики к 2035 году – не более 1,3 раза</w:t>
            </w:r>
          </w:p>
        </w:tc>
      </w:tr>
      <w:tr w:rsidR="00E02995" w:rsidRPr="00E02995" w:rsidTr="00E1390F">
        <w:tc>
          <w:tcPr>
            <w:tcW w:w="163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484" w:type="pct"/>
            <w:gridSpan w:val="3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Отклонение в уровнях бюджетной обеспеченности между наиболее и наименее обеспеченными муниципальными округами и городскими округами Чувашской Республики </w:t>
            </w:r>
          </w:p>
        </w:tc>
        <w:tc>
          <w:tcPr>
            <w:tcW w:w="33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ГП</w:t>
            </w:r>
          </w:p>
        </w:tc>
        <w:tc>
          <w:tcPr>
            <w:tcW w:w="283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убывание</w:t>
            </w:r>
          </w:p>
        </w:tc>
        <w:tc>
          <w:tcPr>
            <w:tcW w:w="255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единиц</w:t>
            </w:r>
          </w:p>
        </w:tc>
        <w:tc>
          <w:tcPr>
            <w:tcW w:w="27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  <w:tc>
          <w:tcPr>
            <w:tcW w:w="19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205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  <w:tc>
          <w:tcPr>
            <w:tcW w:w="253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  <w:tc>
          <w:tcPr>
            <w:tcW w:w="17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  <w:tc>
          <w:tcPr>
            <w:tcW w:w="18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  <w:tc>
          <w:tcPr>
            <w:tcW w:w="195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  <w:tc>
          <w:tcPr>
            <w:tcW w:w="19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  <w:tc>
          <w:tcPr>
            <w:tcW w:w="461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постановление Правительства Российской Федерации от 18.05.2016 № 445, 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Закон Чувашской Республики от 26.11.2020 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№ 102</w:t>
            </w:r>
          </w:p>
        </w:tc>
        <w:tc>
          <w:tcPr>
            <w:tcW w:w="35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Минфин Чувашии</w:t>
            </w:r>
          </w:p>
        </w:tc>
        <w:tc>
          <w:tcPr>
            <w:tcW w:w="352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8" w:type="pct"/>
          </w:tcPr>
          <w:p w:rsidR="00E02995" w:rsidRPr="00E02995" w:rsidRDefault="00E02995" w:rsidP="00E02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340" w:type="pct"/>
          </w:tcPr>
          <w:p w:rsidR="00E02995" w:rsidRPr="00E02995" w:rsidRDefault="00E02995" w:rsidP="00E02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официальный сайт Минфина Чувашии</w:t>
            </w:r>
          </w:p>
        </w:tc>
      </w:tr>
      <w:tr w:rsidR="00E02995" w:rsidRPr="00E02995" w:rsidTr="00E1390F">
        <w:tc>
          <w:tcPr>
            <w:tcW w:w="163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37" w:type="pct"/>
            <w:gridSpan w:val="20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Цель 5 – обеспечение отношения государственного долга Чувашской Республики к доходам республиканского бюджета Чувашской Республики (без учета объема безвозмездных поступлений) к 2035 году на уровне не более 50%</w:t>
            </w:r>
          </w:p>
        </w:tc>
      </w:tr>
      <w:tr w:rsidR="00E02995" w:rsidRPr="00E02995" w:rsidTr="00E1390F">
        <w:tc>
          <w:tcPr>
            <w:tcW w:w="163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484" w:type="pct"/>
            <w:gridSpan w:val="3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Отношение государственного долга Чувашской Республики к доходам республиканского бюджета Чувашской Республики (без учета объема безвозмездных поступлений) </w:t>
            </w:r>
          </w:p>
        </w:tc>
        <w:tc>
          <w:tcPr>
            <w:tcW w:w="33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ГП</w:t>
            </w:r>
          </w:p>
        </w:tc>
        <w:tc>
          <w:tcPr>
            <w:tcW w:w="283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убывание</w:t>
            </w:r>
          </w:p>
        </w:tc>
        <w:tc>
          <w:tcPr>
            <w:tcW w:w="255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про-центов</w:t>
            </w:r>
            <w:proofErr w:type="gramEnd"/>
          </w:p>
        </w:tc>
        <w:tc>
          <w:tcPr>
            <w:tcW w:w="27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24,2</w:t>
            </w:r>
          </w:p>
        </w:tc>
        <w:tc>
          <w:tcPr>
            <w:tcW w:w="19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205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40,7</w:t>
            </w:r>
          </w:p>
        </w:tc>
        <w:tc>
          <w:tcPr>
            <w:tcW w:w="23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97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8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95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9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461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Закон Чувашской Республики от 26.11.2020 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№ 102</w:t>
            </w:r>
          </w:p>
        </w:tc>
        <w:tc>
          <w:tcPr>
            <w:tcW w:w="35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Минфин Чувашии</w:t>
            </w:r>
          </w:p>
        </w:tc>
        <w:tc>
          <w:tcPr>
            <w:tcW w:w="352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обеспечение темпа роста валового внутреннего продукта страны выше среднемирового при сохранении макроэкономической стабильности</w:t>
            </w:r>
          </w:p>
        </w:tc>
        <w:tc>
          <w:tcPr>
            <w:tcW w:w="308" w:type="pct"/>
          </w:tcPr>
          <w:p w:rsidR="00E02995" w:rsidRPr="00E02995" w:rsidRDefault="00E02995" w:rsidP="00E02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340" w:type="pct"/>
          </w:tcPr>
          <w:p w:rsidR="00E02995" w:rsidRPr="00E02995" w:rsidRDefault="00E02995" w:rsidP="00E02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официальный сайт Минфина Чувашии</w:t>
            </w:r>
          </w:p>
        </w:tc>
      </w:tr>
      <w:tr w:rsidR="00E02995" w:rsidRPr="00E02995" w:rsidTr="00E1390F">
        <w:tc>
          <w:tcPr>
            <w:tcW w:w="163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37" w:type="pct"/>
            <w:gridSpan w:val="20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Цель 6 – обеспечение роста налоговых и неналоговых доходов консолидированного бюджета Чувашской Республики ежегодно по отношению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к отчетному году не менее чем на 0,1%</w:t>
            </w:r>
          </w:p>
        </w:tc>
      </w:tr>
      <w:tr w:rsidR="00E02995" w:rsidRPr="00E02995" w:rsidTr="00E1390F">
        <w:tc>
          <w:tcPr>
            <w:tcW w:w="163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481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Прирост поступления  налоговых и неналоговых доходов консолидированного бюджета Чувашской Республики по отношению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 к году, предшествующему отчетному (в сопоставимых условиях)</w:t>
            </w:r>
          </w:p>
        </w:tc>
        <w:tc>
          <w:tcPr>
            <w:tcW w:w="333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ГП</w:t>
            </w:r>
          </w:p>
        </w:tc>
        <w:tc>
          <w:tcPr>
            <w:tcW w:w="283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возрас-тание</w:t>
            </w:r>
            <w:proofErr w:type="spellEnd"/>
            <w:proofErr w:type="gramEnd"/>
          </w:p>
        </w:tc>
        <w:tc>
          <w:tcPr>
            <w:tcW w:w="255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27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205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23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197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18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195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19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461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постановление Правительства Российской Федерации от 27.12.2022 </w:t>
            </w: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br/>
              <w:t>№ 2457;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Закон Чувашской Республики от 26.11.2020 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№ 102</w:t>
            </w:r>
          </w:p>
        </w:tc>
        <w:tc>
          <w:tcPr>
            <w:tcW w:w="35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Минфин Чувашии</w:t>
            </w:r>
          </w:p>
        </w:tc>
        <w:tc>
          <w:tcPr>
            <w:tcW w:w="352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обеспечение темпа устойчивого роста доходов населения и уровня пенсионного обеспечения не ниже инфляции</w:t>
            </w:r>
          </w:p>
        </w:tc>
        <w:tc>
          <w:tcPr>
            <w:tcW w:w="308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34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 </w:t>
            </w:r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Мин-</w:t>
            </w:r>
            <w:proofErr w:type="spell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фина</w:t>
            </w:r>
            <w:proofErr w:type="spellEnd"/>
            <w:proofErr w:type="gramEnd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Чува-шии</w:t>
            </w:r>
            <w:proofErr w:type="spellEnd"/>
          </w:p>
        </w:tc>
      </w:tr>
      <w:tr w:rsidR="00E02995" w:rsidRPr="00E02995" w:rsidTr="00E1390F">
        <w:tc>
          <w:tcPr>
            <w:tcW w:w="163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37" w:type="pct"/>
            <w:gridSpan w:val="20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Цель 7 – обеспечение </w:t>
            </w:r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значения индекса уровня финансовой грамотности населения Чувашской Республики</w:t>
            </w:r>
            <w:proofErr w:type="gramEnd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 к 2035 году не менее 62 баллов</w:t>
            </w:r>
          </w:p>
        </w:tc>
      </w:tr>
      <w:tr w:rsidR="00E02995" w:rsidRPr="00E02995" w:rsidTr="00E1390F">
        <w:tc>
          <w:tcPr>
            <w:tcW w:w="163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45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Индекс уровня финансовой грамотности населения Чувашской Республики</w:t>
            </w:r>
          </w:p>
        </w:tc>
        <w:tc>
          <w:tcPr>
            <w:tcW w:w="357" w:type="pct"/>
            <w:gridSpan w:val="3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ГП</w:t>
            </w:r>
          </w:p>
        </w:tc>
        <w:tc>
          <w:tcPr>
            <w:tcW w:w="283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рост</w:t>
            </w:r>
          </w:p>
        </w:tc>
        <w:tc>
          <w:tcPr>
            <w:tcW w:w="255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баллов</w:t>
            </w:r>
          </w:p>
        </w:tc>
        <w:tc>
          <w:tcPr>
            <w:tcW w:w="27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205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3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  <w:tc>
          <w:tcPr>
            <w:tcW w:w="197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54,3</w:t>
            </w:r>
          </w:p>
        </w:tc>
        <w:tc>
          <w:tcPr>
            <w:tcW w:w="18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54,5</w:t>
            </w:r>
          </w:p>
        </w:tc>
        <w:tc>
          <w:tcPr>
            <w:tcW w:w="195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56,0</w:t>
            </w:r>
          </w:p>
        </w:tc>
        <w:tc>
          <w:tcPr>
            <w:tcW w:w="19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62,0</w:t>
            </w:r>
          </w:p>
        </w:tc>
        <w:tc>
          <w:tcPr>
            <w:tcW w:w="461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распоряжение Правительства Российской Федерации от 29.12.2022 № 4355-р</w:t>
            </w:r>
          </w:p>
        </w:tc>
        <w:tc>
          <w:tcPr>
            <w:tcW w:w="35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Минфин Чувашии</w:t>
            </w:r>
          </w:p>
        </w:tc>
        <w:tc>
          <w:tcPr>
            <w:tcW w:w="352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8" w:type="pct"/>
          </w:tcPr>
          <w:p w:rsidR="00E02995" w:rsidRPr="00E02995" w:rsidRDefault="00E02995" w:rsidP="00E02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340" w:type="pct"/>
          </w:tcPr>
          <w:p w:rsidR="00E02995" w:rsidRPr="00E02995" w:rsidRDefault="00E02995" w:rsidP="00E02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официальный сайт Минфина Чувашии</w:t>
            </w:r>
          </w:p>
        </w:tc>
      </w:tr>
    </w:tbl>
    <w:p w:rsidR="00E02995" w:rsidRPr="00E02995" w:rsidRDefault="00E02995" w:rsidP="00E0299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02995" w:rsidRPr="00E02995" w:rsidRDefault="00E02995" w:rsidP="00E0299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0299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3. Структура государственной программы Чувашской Республики «Управление общественными финансами </w:t>
      </w:r>
    </w:p>
    <w:p w:rsidR="00E02995" w:rsidRPr="00E02995" w:rsidRDefault="00E02995" w:rsidP="00E0299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0299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 государственным долгом Чувашской Республики»</w:t>
      </w:r>
    </w:p>
    <w:p w:rsidR="00E02995" w:rsidRPr="00E02995" w:rsidRDefault="00E02995" w:rsidP="00E029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4868"/>
        <w:gridCol w:w="5412"/>
        <w:gridCol w:w="3835"/>
      </w:tblGrid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</w:p>
        </w:tc>
        <w:tc>
          <w:tcPr>
            <w:tcW w:w="164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Задачи структурного элемента</w:t>
            </w:r>
            <w:r w:rsidRPr="00E02995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</w:p>
        </w:tc>
        <w:tc>
          <w:tcPr>
            <w:tcW w:w="183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Краткое описание ожидаемых эффектов от реализации задачи структурного элемента</w:t>
            </w:r>
            <w:r w:rsidRPr="00E02995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1</w:t>
            </w:r>
          </w:p>
        </w:tc>
        <w:tc>
          <w:tcPr>
            <w:tcW w:w="129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left="321" w:hanging="3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Связь с показателями 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left="321" w:hanging="3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Государственной программы</w:t>
            </w:r>
          </w:p>
        </w:tc>
      </w:tr>
    </w:tbl>
    <w:p w:rsidR="00E02995" w:rsidRPr="00E02995" w:rsidRDefault="00E02995" w:rsidP="00E02995">
      <w:pPr>
        <w:spacing w:after="0" w:line="23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4868"/>
        <w:gridCol w:w="1893"/>
        <w:gridCol w:w="3519"/>
        <w:gridCol w:w="3835"/>
      </w:tblGrid>
      <w:tr w:rsidR="00E02995" w:rsidRPr="00E02995" w:rsidTr="00E1390F">
        <w:trPr>
          <w:tblHeader/>
        </w:trPr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4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30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9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773" w:type="pct"/>
            <w:gridSpan w:val="4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b/>
                <w:lang w:eastAsia="ru-RU"/>
              </w:rPr>
              <w:t>Ведомственный проект «Повышение финансовой грамотности населения Чувашской Республики»</w:t>
            </w: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 («Новая финансовая культура») </w:t>
            </w:r>
            <w:r w:rsidRPr="00E02995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6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 за реализацию: Министерство финансов Чувашской Республики</w:t>
            </w:r>
          </w:p>
        </w:tc>
        <w:tc>
          <w:tcPr>
            <w:tcW w:w="2488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Срок реализации: 2020–2030 годы</w:t>
            </w:r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164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Внедрение и своевременная актуализация образовательных программ, обеспечивающих повышение финансовой грамотности и формирование финансовой культуры населения, в систему образования Чувашской Республики</w:t>
            </w:r>
          </w:p>
        </w:tc>
        <w:tc>
          <w:tcPr>
            <w:tcW w:w="1830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внедрение и развитие практики обучения элементам финансовой грамотности детей дошкольного возраста, учащихся общеобразовательных организаций, обучающихся профессиональных образовательных организаций и студентов высших учебных заведений в рамках учебных дисциплин, а также факультативных занятий и внеурочной деятельности;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участие обучающихся всех уровней образования в олимпиадах и конкурсах, в том числе всероссийского уровня</w:t>
            </w:r>
          </w:p>
        </w:tc>
        <w:tc>
          <w:tcPr>
            <w:tcW w:w="129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индекс уровня финансовой грамотности населения Чувашской Республики</w:t>
            </w:r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164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Развитие кадрового потенциала, в том числе путем подготовки и регулярного повышения квалификации педагогических работников и преподавателей образовательных организаций, иных специалистов в области финансового просвещения, а также обеспечения их методического сопровождения</w:t>
            </w:r>
          </w:p>
        </w:tc>
        <w:tc>
          <w:tcPr>
            <w:tcW w:w="1830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обучение методистов, </w:t>
            </w:r>
            <w:proofErr w:type="spell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тьюторов</w:t>
            </w:r>
            <w:proofErr w:type="spellEnd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, волонтеров, повышение квалификации педагогов образовательных организаций, педагогов организаций дополнительного образования, обучение сотрудников центров социального обслуживания населения, центров занятости, пенсионного фонда и других служб в области финансовой грамотности, оказание им постоянной методической поддержки</w:t>
            </w:r>
          </w:p>
        </w:tc>
        <w:tc>
          <w:tcPr>
            <w:tcW w:w="129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индекс уровня финансовой грамотности населения Чувашской Республики</w:t>
            </w:r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164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и закрепление навыков осознанного финансового поведения, развитие механизмов информирования населения по актуальным вопросам финансовой грамотности, в том числе в области цифровых услуг, финансовой </w:t>
            </w:r>
            <w:proofErr w:type="spell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киберграмотности</w:t>
            </w:r>
            <w:proofErr w:type="spellEnd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кибергигиены</w:t>
            </w:r>
            <w:proofErr w:type="spellEnd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, в инвестиционной, пенсионной, налоговой, бюджетной и жилищной сферах, ведение просветительской деятельности в отношении населения Чувашской Республики, </w:t>
            </w:r>
            <w:proofErr w:type="spell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таргетированная</w:t>
            </w:r>
            <w:proofErr w:type="spellEnd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 работа с целевыми аудиториями</w:t>
            </w:r>
            <w:proofErr w:type="gramEnd"/>
          </w:p>
        </w:tc>
        <w:tc>
          <w:tcPr>
            <w:tcW w:w="1830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по повышению финансовой грамотности среди населения Чувашской Республики, в том числе в трудовых коллективах (на рабочих местах), а также вовлечение взрослого населения, в том числе людей пенсионного возраста, в мероприятия, организуемые Минфином России, Банком России и соответствующими исполнительными органами Чувашской Республики;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оказание образовательной поддержки представителям малого и среднего предпринимательства (в том числе информирование о механизмах получения государственной финансовой и нефинансовой помощи), способствующей дальнейшему развитию бизнеса и повышению конкурентоспособности организаций в Чувашской Республике;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мероприятий для детей-сирот, социально незащищенных слоев населения по повышению финансовой грамотности, в том числе на базе центров занятости населения, центров социального обслуживания населения, библиотек</w:t>
            </w:r>
          </w:p>
        </w:tc>
        <w:tc>
          <w:tcPr>
            <w:tcW w:w="129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индекс уровня финансовой грамотности населения Чувашской Республики</w:t>
            </w:r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164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Расширение каналов коммуникации с населением с помощью самых современных и популярных методов доведения информации, включая цифровые</w:t>
            </w:r>
          </w:p>
        </w:tc>
        <w:tc>
          <w:tcPr>
            <w:tcW w:w="1830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разработка, изготовление и распространение печатной (буклеты, брошюры, проспекты, баннеры, растяжки и т.д.) и сувенирной продукции, размещение в средствах массовой информации информационных материалов, пропагандирующих необходимость ответственного и грамотного финансового поведения и способствующих повышению уровня финансовой грамотности населения и защите прав потребителей финансовых услуг;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творческих состязаний среди журналистов и </w:t>
            </w:r>
            <w:proofErr w:type="spell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блогеров</w:t>
            </w:r>
            <w:proofErr w:type="spellEnd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 на лучшее освещение темы финансовой грамотности, которые призваны повысить качество публикуемых материалов в области финансов</w:t>
            </w:r>
          </w:p>
        </w:tc>
        <w:tc>
          <w:tcPr>
            <w:tcW w:w="129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индекс уровня финансовой грамотности населения Чувашской Республики</w:t>
            </w:r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164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Развитие движения волонтеров финансового просвещения</w:t>
            </w:r>
          </w:p>
        </w:tc>
        <w:tc>
          <w:tcPr>
            <w:tcW w:w="1830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рост количества подготовленных волонтеров финансового просвещения в Чувашской Республике</w:t>
            </w:r>
          </w:p>
        </w:tc>
        <w:tc>
          <w:tcPr>
            <w:tcW w:w="129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индекс уровня финансовой грамотности населения Чувашской Республики</w:t>
            </w:r>
          </w:p>
        </w:tc>
      </w:tr>
      <w:tr w:rsidR="00E02995" w:rsidRPr="00E02995" w:rsidTr="00E1390F">
        <w:trPr>
          <w:trHeight w:val="1170"/>
        </w:trPr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1.6.</w:t>
            </w:r>
          </w:p>
        </w:tc>
        <w:tc>
          <w:tcPr>
            <w:tcW w:w="164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Формирование инфраструктуры, обеспечивающей доступное информирование и ответственное консультирование по вопросам использования финансовых продуктов</w:t>
            </w:r>
          </w:p>
        </w:tc>
        <w:tc>
          <w:tcPr>
            <w:tcW w:w="1830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функционирование в Чувашской Республике Республиканского центра финансовой грамотности</w:t>
            </w:r>
          </w:p>
        </w:tc>
        <w:tc>
          <w:tcPr>
            <w:tcW w:w="129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индекс уровня финансовой грамотности населения Чувашской Республики</w:t>
            </w:r>
          </w:p>
        </w:tc>
      </w:tr>
      <w:tr w:rsidR="00E02995" w:rsidRPr="00E02995" w:rsidTr="00E1390F">
        <w:trPr>
          <w:trHeight w:val="679"/>
        </w:trPr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1.7.</w:t>
            </w:r>
          </w:p>
        </w:tc>
        <w:tc>
          <w:tcPr>
            <w:tcW w:w="164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Мониторинг и оценка уровня финансовой грамотности населения Чувашской Республики</w:t>
            </w:r>
          </w:p>
        </w:tc>
        <w:tc>
          <w:tcPr>
            <w:tcW w:w="1830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определение уровня финансовой грамотности населения Чувашской Республики</w:t>
            </w:r>
          </w:p>
        </w:tc>
        <w:tc>
          <w:tcPr>
            <w:tcW w:w="129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индекс уровня финансовой грамотности населения Чувашской Республики</w:t>
            </w:r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4773" w:type="pct"/>
            <w:gridSpan w:val="4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«Организация и управление бюджетным процессом и повышение его открытости»</w:t>
            </w:r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6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 за реализацию: Министерство финансов Чувашской Республики</w:t>
            </w:r>
          </w:p>
        </w:tc>
        <w:tc>
          <w:tcPr>
            <w:tcW w:w="2488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Срок реализации:     -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164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обеспечения долгосрочной сбалансированности и устойчивости республиканского бюджета Чувашской Республики</w:t>
            </w:r>
          </w:p>
        </w:tc>
        <w:tc>
          <w:tcPr>
            <w:tcW w:w="1830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принятие закона Чувашской Республики о республиканском бюджете Чувашской Республики на очередной финансовый год и плановый период, учитывающего приоритеты социально-экономического развития Чувашской Республики и принципы долгосрочной бюджетной устойчивости на основе бюджетных правил; принятие законов Чувашской Республики о внесении изменений в закон Чувашской Республики о республиканском бюджете Чувашской Республики на очередной финансовый год и плановый период;</w:t>
            </w:r>
            <w:proofErr w:type="gramEnd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 обеспечение управления бюджетными ассигнованиями резервного фонда Кабинета Министров Чувашской Республики</w:t>
            </w:r>
          </w:p>
        </w:tc>
        <w:tc>
          <w:tcPr>
            <w:tcW w:w="129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отношение дефицита республиканского бюджета Чувашской Республики к доходам республиканского бюджета Чувашской Республики (без учета безвозмездных поступлений)  </w:t>
            </w:r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164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организации исполнения республиканского бюджета Чувашской Республики</w:t>
            </w:r>
          </w:p>
        </w:tc>
        <w:tc>
          <w:tcPr>
            <w:tcW w:w="1830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принятие закона Чувашской Республики об исполнении республиканского бюджета Чувашской Республики за отчетный финансовый год; процент исполнения республиканского бюджета Чувашской Республики по расходам в 2026 году составит 97,2%</w:t>
            </w:r>
          </w:p>
        </w:tc>
        <w:tc>
          <w:tcPr>
            <w:tcW w:w="129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средний показатель </w:t>
            </w:r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качества финансового менеджмента главных администраторов средств республиканского бюджета Чувашской Республики</w:t>
            </w:r>
            <w:proofErr w:type="gramEnd"/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2.3.</w:t>
            </w:r>
          </w:p>
        </w:tc>
        <w:tc>
          <w:tcPr>
            <w:tcW w:w="164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Повышение открытости и прозрачности бюджетной системы в Чувашской Республике, доступности для граждан информации о составлении и исполнении республиканского бюджета Чувашской Республики и местных бюджетов</w:t>
            </w:r>
          </w:p>
        </w:tc>
        <w:tc>
          <w:tcPr>
            <w:tcW w:w="1830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информирование населения о составлении и исполнении республиканского бюджета Чувашской Республики в доступном формате</w:t>
            </w:r>
          </w:p>
        </w:tc>
        <w:tc>
          <w:tcPr>
            <w:tcW w:w="129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отношение дефицита республиканского бюджета Чувашской Республики к доходам республиканского бюджета Чувашской Республики (без учета безвозмездных поступлений) </w:t>
            </w:r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4773" w:type="pct"/>
            <w:gridSpan w:val="4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Комплекс процессных мероприятий «Повышение доходной базы республиканского бюджета Чувашской Республики» </w:t>
            </w:r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6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 за реализацию: Министерство финансов Чувашской Республики</w:t>
            </w:r>
          </w:p>
        </w:tc>
        <w:tc>
          <w:tcPr>
            <w:tcW w:w="2488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Срок реализации:     -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164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Обеспечение роста собственных доходов консолидированного бюджета Чувашской Республики, рациональное использование механизма предоставления налоговых льгот</w:t>
            </w:r>
          </w:p>
        </w:tc>
        <w:tc>
          <w:tcPr>
            <w:tcW w:w="1830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сформированы показатели исполнения консолидированного бюджета Чувашской Республики по налоговым и неналоговым доходам за текущий финансовый год в сравнении с аналогичным периодом отчетного финансового года;   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обеспечена ежегодная оценка эффективности налоговых расходов республиканского бюджета Чувашской Республики за год, предшествующий отчетному году </w:t>
            </w:r>
          </w:p>
        </w:tc>
        <w:tc>
          <w:tcPr>
            <w:tcW w:w="129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прирост поступления  налоговых и неналоговых доходов консолидированного бюджета Чувашской Республики по отношению к году, предшествующему отчетному (в сопоставимых условиях)</w:t>
            </w:r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4773" w:type="pct"/>
            <w:gridSpan w:val="4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Комплекс процессных мероприятий «Осуществление мер финансовой поддержки муниципальных округов, городских округов Чувашской Республики с целью выравнивания их бюджетной обеспеченности, обеспечения сбалансированности бюджетов, социально-экономического развития и исполнения делегированных полномочий» </w:t>
            </w:r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6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 за реализацию: Министерство финансов Чувашской Республики </w:t>
            </w:r>
          </w:p>
        </w:tc>
        <w:tc>
          <w:tcPr>
            <w:tcW w:w="2488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Срок реализации:     -</w:t>
            </w:r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4.1.</w:t>
            </w:r>
          </w:p>
        </w:tc>
        <w:tc>
          <w:tcPr>
            <w:tcW w:w="164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Сокращение дифференциации по уровню бюджетной обеспеченности муниципальных образований</w:t>
            </w:r>
          </w:p>
        </w:tc>
        <w:tc>
          <w:tcPr>
            <w:tcW w:w="1830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обеспечено прозрачное распределение и своевременное перечисление дотаций на выравнивание бюджетной обеспеченности муниципальных округов и городских округов;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обеспечено ежегодное утверждение законом Чувашской Республики о республиканском бюджете Чувашской Республики дополнительных нормативов отчислений от налога на доходы физических лиц;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обеспечено заключение соглашений, которыми предусматриваются меры по социально-экономическому развитию и оздоровлению муниципальных финансов, с главами местных администраций (руководителями исполнительно-распорядительных органов) муниципальных образований, получающих дотации на выравнивание бюджетной обеспеченности муниципальных округов и городских округов и (или) доходы по заменяющим указанные дотации дополнительным нормативам отчислений от налога на доходы физических лиц</w:t>
            </w:r>
            <w:proofErr w:type="gramEnd"/>
          </w:p>
        </w:tc>
        <w:tc>
          <w:tcPr>
            <w:tcW w:w="129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отклонение в уровнях бюджетной обеспеченности между наиболее и наименее обеспеченными муниципальными округами и городскими округами Чувашской Республики </w:t>
            </w:r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4.2.</w:t>
            </w:r>
          </w:p>
        </w:tc>
        <w:tc>
          <w:tcPr>
            <w:tcW w:w="164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Содействие обеспечению устойчивого исполнения бюджетов муниципальных образований </w:t>
            </w:r>
          </w:p>
        </w:tc>
        <w:tc>
          <w:tcPr>
            <w:tcW w:w="1830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обеспечено предоставление бюджетных кредитов из республиканского бюджета Чувашской Республики для покрытия временных кассовых разрывов, возникающих при исполнении местных бюджетов, для частичного покрытия дефицитов местных бюджетов, возникающих при исполнении местных бюджетов;</w:t>
            </w: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обеспечено предоставление субсидий бюджетам муниципальных округов и городских округов на реализацию вопросов местного значения в сфере образования, культуры, физической культуры и спорта по результатам исполнения местных бюджетов, иных  межбюджетных трансфертов для частичной компенсации дополнительных расходов на повышение оплаты труда отдельных категорий работников в связи с увеличением минимального </w:t>
            </w:r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размера оплаты труда</w:t>
            </w:r>
            <w:proofErr w:type="gramEnd"/>
          </w:p>
        </w:tc>
        <w:tc>
          <w:tcPr>
            <w:tcW w:w="129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отклонение в уровнях бюджетной обеспеченности между наиболее и наименее обеспеченными муниципальными округами и городскими округами Чувашской Республики </w:t>
            </w:r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4.3.</w:t>
            </w:r>
          </w:p>
        </w:tc>
        <w:tc>
          <w:tcPr>
            <w:tcW w:w="1646" w:type="pct"/>
          </w:tcPr>
          <w:p w:rsidR="00E02995" w:rsidRPr="00E02995" w:rsidRDefault="00E02995" w:rsidP="00E02995">
            <w:pPr>
              <w:widowControl w:val="0"/>
              <w:tabs>
                <w:tab w:val="left" w:pos="1222"/>
              </w:tabs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Содействие повышению качества управления финансами муниципальных образований</w:t>
            </w:r>
          </w:p>
        </w:tc>
        <w:tc>
          <w:tcPr>
            <w:tcW w:w="1830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проведен ежегодный мониторинг оценки качества управления финансами муниципальных образований Чувашской Республики;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обеспечено проведение мониторинга выполнения муниципальными образованиями условий соглашений, которыми предусматриваются меры по социально-экономическому развитию и оздоровлению муниципальных финансов;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обеспечено проведение мониторинга соблюдения муниципальными образованиями требований бюджетного законодательства Российской Федерации при осуществлении ими бюджетного процесса;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направлены рекомендации  по повышению качества управления финансами муниципальных образований с ненадлежащим качеством управления финансами</w:t>
            </w:r>
          </w:p>
        </w:tc>
        <w:tc>
          <w:tcPr>
            <w:tcW w:w="129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отклонение в уровнях бюджетной обеспеченности между наиболее и наименее обеспеченными муниципальными округами и городскими округами Чувашской Республики </w:t>
            </w:r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4773" w:type="pct"/>
            <w:gridSpan w:val="4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«Управление государственным долгом Чувашской Республики»</w:t>
            </w:r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6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 за реализацию: Министерство финансов Чувашской Республики </w:t>
            </w:r>
          </w:p>
        </w:tc>
        <w:tc>
          <w:tcPr>
            <w:tcW w:w="2488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Срок реализации:     -</w:t>
            </w:r>
          </w:p>
        </w:tc>
      </w:tr>
      <w:tr w:rsidR="00E02995" w:rsidRPr="00E02995" w:rsidTr="00E1390F">
        <w:trPr>
          <w:trHeight w:val="1436"/>
        </w:trPr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5.1.</w:t>
            </w:r>
          </w:p>
        </w:tc>
        <w:tc>
          <w:tcPr>
            <w:tcW w:w="164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Поддержание </w:t>
            </w:r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оптимальных</w:t>
            </w:r>
            <w:proofErr w:type="gramEnd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 и экономически обоснованных объема и структуры государственного долга Чувашской Республики</w:t>
            </w:r>
          </w:p>
        </w:tc>
        <w:tc>
          <w:tcPr>
            <w:tcW w:w="1830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обеспечены приемлемые и экономически обоснованные объем и структура государственного долга Чувашской Республики; обеспечено исполнение долговых обязательств  Чувашской Республики своевременно и в  полном объеме; к 2026 году доля расходов на обслуживание государственного долга Чувашской Республики в общем объеме расходов республиканского бюджета Чувашской Республики составит не более 1,4%</w:t>
            </w:r>
            <w:proofErr w:type="gramEnd"/>
          </w:p>
        </w:tc>
        <w:tc>
          <w:tcPr>
            <w:tcW w:w="129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отношение государственного долга Чувашской Республики к доходам республиканского бюджета Чувашской Республики (без учета объема безвозмездных поступлений) </w:t>
            </w:r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5.2.</w:t>
            </w:r>
          </w:p>
        </w:tc>
        <w:tc>
          <w:tcPr>
            <w:tcW w:w="164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Минимизация стоимости заимствований и выплаты вознаграждений агентам и консультантам</w:t>
            </w:r>
          </w:p>
        </w:tc>
        <w:tc>
          <w:tcPr>
            <w:tcW w:w="1830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обеспечено формирование проектов программы государственных внутренних заимствований Чувашской Республики, программы государственных гарантий Чувашской Республики в валюте Российской Федерации на очередной финансовый год и плановый период;</w:t>
            </w: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к 2026 году уровень долговой нагрузки по рыночным заимствованиям Чувашской Республики составит не  более 34%</w:t>
            </w:r>
          </w:p>
        </w:tc>
        <w:tc>
          <w:tcPr>
            <w:tcW w:w="129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отношение государственного долга Чувашской Республики к доходам республиканского бюджета Чувашской Республики (без учета объема безвозмездных поступлений) </w:t>
            </w:r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4773" w:type="pct"/>
            <w:gridSpan w:val="4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«Обеспечение функционирования и  развитие контрактной системы в сфере закупок товаров, работ, услуг для обеспечения государственных и муниципальных нужд и государственного регулирования  цен (тарифов)»</w:t>
            </w:r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6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 за реализацию: Государственная служба Чувашской Республики по конкурентной политике и тарифам</w:t>
            </w:r>
          </w:p>
        </w:tc>
        <w:tc>
          <w:tcPr>
            <w:tcW w:w="2488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Срок реализации:     -</w:t>
            </w:r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6.1.</w:t>
            </w:r>
          </w:p>
        </w:tc>
        <w:tc>
          <w:tcPr>
            <w:tcW w:w="164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системы закупок товаров, работ, услуг для обеспечения нужд Чувашской Республики и муниципальных нужд</w:t>
            </w:r>
          </w:p>
        </w:tc>
        <w:tc>
          <w:tcPr>
            <w:tcW w:w="1830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обеспечение открытости и прозрачности осуществления закупок товаров, работ, услуг для обеспечения нужд Чувашской Республики и муниципальных нужд;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эффективности, результативности осуществления закупок товаров, работ, услуг для обеспечения нужд Чувашской Республики и муниципальных нужд; 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создание равных условий для обеспечения конкуренции между участниками закупок;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предотвращение коррупции и других злоупотреблений в сфере</w:t>
            </w:r>
            <w:r w:rsidRPr="00E02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закупок товаров, работ, услуг для обеспечения нужд Чувашской Республики и муниципальных нужд</w:t>
            </w:r>
          </w:p>
        </w:tc>
        <w:tc>
          <w:tcPr>
            <w:tcW w:w="129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средний показатель </w:t>
            </w:r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качества финансового менеджмента главных администраторов средств республиканского бюджета Чувашской Республики</w:t>
            </w:r>
            <w:proofErr w:type="gramEnd"/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6.2.</w:t>
            </w:r>
          </w:p>
        </w:tc>
        <w:tc>
          <w:tcPr>
            <w:tcW w:w="164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контрактной системы закупок товаров, работ, услуг для обеспечения нужд Чувашской Республики  и муниципальных нужд</w:t>
            </w:r>
          </w:p>
        </w:tc>
        <w:tc>
          <w:tcPr>
            <w:tcW w:w="1830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развитие ИС «Региональная система управления закупками», централизация закупок государственных и муниципальных  заказчиков, осуществляющих закупки в рамках Федерального закона «О контрактной системе в сфере закупок товаров, работ, услуг для обеспечения государственных и муниципальных нужд» и Федерального закона «О закупках товаров, работ, услуг отдельными видами юридических лиц»</w:t>
            </w:r>
          </w:p>
        </w:tc>
        <w:tc>
          <w:tcPr>
            <w:tcW w:w="129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средний показатель </w:t>
            </w:r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качества финансового менеджмента главных администраторов средств республиканского бюджета Чувашской Республики</w:t>
            </w:r>
            <w:proofErr w:type="gramEnd"/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6.3.</w:t>
            </w:r>
          </w:p>
        </w:tc>
        <w:tc>
          <w:tcPr>
            <w:tcW w:w="164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Достижение баланса экономических интересов производителей и потребителей продукции (услуг) хозяйствующих субъектов, производящих (оказывающих) продукцию (услуги) по государственным регулируемым ценам (тарифам)</w:t>
            </w:r>
          </w:p>
        </w:tc>
        <w:tc>
          <w:tcPr>
            <w:tcW w:w="1830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обеспечение достижения баланса экономических интересов производителей и потребителей продукции (услуг) хозяйствующих субъектов, производящих (оказывающих) продукцию (услуги) по государственным регулируемым ценам (тарифам)</w:t>
            </w:r>
          </w:p>
        </w:tc>
        <w:tc>
          <w:tcPr>
            <w:tcW w:w="129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средний показатель </w:t>
            </w:r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качества финансового менеджмента главных администраторов средств республиканского бюджета Чувашской Республики</w:t>
            </w:r>
            <w:proofErr w:type="gramEnd"/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4773" w:type="pct"/>
            <w:gridSpan w:val="4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Комплекс процессных мероприятий «Обеспечение функционирования и развитие системы внешнего государственного (муниципального) 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b/>
                <w:lang w:eastAsia="ru-RU"/>
              </w:rPr>
              <w:t>финансового контроля»</w:t>
            </w:r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6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 за реализацию: Контрольно-счетная палата Чувашской Республики </w:t>
            </w:r>
          </w:p>
        </w:tc>
        <w:tc>
          <w:tcPr>
            <w:tcW w:w="2488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Срок реализации:     -</w:t>
            </w:r>
          </w:p>
        </w:tc>
      </w:tr>
      <w:tr w:rsidR="00E02995" w:rsidRPr="00E02995" w:rsidTr="00E1390F">
        <w:trPr>
          <w:trHeight w:val="1847"/>
        </w:trPr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7.1.</w:t>
            </w:r>
          </w:p>
        </w:tc>
        <w:tc>
          <w:tcPr>
            <w:tcW w:w="164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качества и результативности внешнего государственного (муниципального) финансового </w:t>
            </w:r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контроля за</w:t>
            </w:r>
            <w:proofErr w:type="gramEnd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 использованием средств республиканского бюджета Чувашской Республики и местных бюджетов</w:t>
            </w:r>
          </w:p>
        </w:tc>
        <w:tc>
          <w:tcPr>
            <w:tcW w:w="1830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выявление резервов за счет повышения эффективности расходов и увеличение доходов бюджетов в целях обеспечения сбалансированности бюджетов;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предотвращение и профилактика нарушений бюджетного законодательства Российской Федерации и нарушений в использовании государственного (муниципального) имущества</w:t>
            </w:r>
          </w:p>
        </w:tc>
        <w:tc>
          <w:tcPr>
            <w:tcW w:w="129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отношение дефицита республиканского бюджета Чувашской Республики к доходам республиканского бюджета Чувашской Республики (без учета безвозмездных поступлений) </w:t>
            </w:r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keepNext/>
              <w:pageBreakBefore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4773" w:type="pct"/>
            <w:gridSpan w:val="4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Комплекс процессных мероприятий «Обеспечение казначейского исполнения бюджета и осуществление </w:t>
            </w:r>
            <w:proofErr w:type="gramStart"/>
            <w:r w:rsidRPr="00E02995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контроля за</w:t>
            </w:r>
            <w:proofErr w:type="gramEnd"/>
            <w:r w:rsidRPr="00E0299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использованием бюджетных средств» </w:t>
            </w:r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6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 за реализацию: Министерство финансов Чувашской Республики </w:t>
            </w:r>
          </w:p>
        </w:tc>
        <w:tc>
          <w:tcPr>
            <w:tcW w:w="2488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Срок реализации:     -</w:t>
            </w:r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8.1.</w:t>
            </w:r>
          </w:p>
        </w:tc>
        <w:tc>
          <w:tcPr>
            <w:tcW w:w="164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Повышение качества финансового менеджмента в сфере государственного управления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0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обеспечение законности и эффективности использования средств республиканского бюджета Чувашской Республики и местных бюджетов, государственной собственности Чувашской Республики;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предупреждение и пресечение нарушений бюджетного законодательства Российской Федерации;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уменьшение количества нарушений при использовании средств республиканского бюджета Чувашской Республики и местных бюджетов;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повышение уровня исполнительской дисциплины (ответственности) главных распорядителей средств республиканского бюджета Чувашской Республики при осуществлении бюджетных процедур</w:t>
            </w:r>
          </w:p>
        </w:tc>
        <w:tc>
          <w:tcPr>
            <w:tcW w:w="129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средний показатель </w:t>
            </w:r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качества финансового менеджмента главных администраторов средств республиканского бюджета Чувашской Республики</w:t>
            </w:r>
            <w:proofErr w:type="gramEnd"/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4773" w:type="pct"/>
            <w:gridSpan w:val="4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«Обеспечение реализации государственной программы Чувашской Республики «Управление общественными финансами и  государственным долгом Чувашской Республики»</w:t>
            </w:r>
          </w:p>
        </w:tc>
      </w:tr>
      <w:tr w:rsidR="00E02995" w:rsidRPr="00E02995" w:rsidTr="00E1390F">
        <w:tc>
          <w:tcPr>
            <w:tcW w:w="227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6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 за реализацию: Министерство финансов Чувашской Республики </w:t>
            </w:r>
          </w:p>
        </w:tc>
        <w:tc>
          <w:tcPr>
            <w:tcW w:w="2488" w:type="pct"/>
            <w:gridSpan w:val="2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Срок реализации:     -</w:t>
            </w:r>
          </w:p>
        </w:tc>
      </w:tr>
    </w:tbl>
    <w:p w:rsidR="00E02995" w:rsidRPr="00E02995" w:rsidRDefault="00E02995" w:rsidP="00E02995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2995" w:rsidRPr="00E02995" w:rsidRDefault="00E02995" w:rsidP="00E0299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0299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4. Финансовое обеспечение Государственной программы</w:t>
      </w:r>
    </w:p>
    <w:p w:rsidR="00E02995" w:rsidRPr="00E02995" w:rsidRDefault="00E02995" w:rsidP="00E0299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478"/>
        <w:gridCol w:w="1369"/>
        <w:gridCol w:w="1505"/>
        <w:gridCol w:w="1233"/>
        <w:gridCol w:w="1233"/>
        <w:gridCol w:w="1369"/>
        <w:gridCol w:w="1230"/>
        <w:gridCol w:w="1369"/>
      </w:tblGrid>
      <w:tr w:rsidR="00E02995" w:rsidRPr="00E02995" w:rsidTr="00E1390F">
        <w:tc>
          <w:tcPr>
            <w:tcW w:w="1852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Наименование Государственной программы, структурного элемента/ источник финансового обеспечения</w:t>
            </w:r>
            <w:r w:rsidRPr="00E02995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</w:p>
        </w:tc>
        <w:tc>
          <w:tcPr>
            <w:tcW w:w="3148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E02995" w:rsidRPr="00E02995" w:rsidTr="00E1390F">
        <w:tc>
          <w:tcPr>
            <w:tcW w:w="1852" w:type="pct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02995" w:rsidRPr="00E02995" w:rsidRDefault="00E02995" w:rsidP="00E02995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2019–2023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2027–2030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2031–2035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</w:tbl>
    <w:p w:rsidR="00E02995" w:rsidRPr="00E02995" w:rsidRDefault="00E02995" w:rsidP="00E02995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9"/>
        <w:gridCol w:w="1358"/>
        <w:gridCol w:w="1496"/>
        <w:gridCol w:w="1224"/>
        <w:gridCol w:w="1261"/>
        <w:gridCol w:w="1360"/>
        <w:gridCol w:w="1261"/>
        <w:gridCol w:w="1357"/>
      </w:tblGrid>
      <w:tr w:rsidR="00E02995" w:rsidRPr="00E02995" w:rsidTr="00E1390F">
        <w:trPr>
          <w:tblHeader/>
        </w:trPr>
        <w:tc>
          <w:tcPr>
            <w:tcW w:w="184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0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1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6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E02995" w:rsidRPr="00E02995" w:rsidTr="00E1390F">
        <w:tc>
          <w:tcPr>
            <w:tcW w:w="184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Государственная программа «Управление общественными финансами и государственным долгом Чувашской Республики», всего 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 том числе: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9179678,0</w:t>
            </w:r>
          </w:p>
        </w:tc>
        <w:tc>
          <w:tcPr>
            <w:tcW w:w="50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5327882,2</w:t>
            </w:r>
          </w:p>
        </w:tc>
        <w:tc>
          <w:tcPr>
            <w:tcW w:w="41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5446003,7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21783494,8</w:t>
            </w:r>
          </w:p>
        </w:tc>
        <w:tc>
          <w:tcPr>
            <w:tcW w:w="46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27217981,0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68955039,7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9179678,0</w:t>
            </w:r>
          </w:p>
        </w:tc>
      </w:tr>
      <w:tr w:rsidR="00E02995" w:rsidRPr="00E02995" w:rsidTr="00E1390F">
        <w:tc>
          <w:tcPr>
            <w:tcW w:w="184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iCs/>
                <w:lang w:eastAsia="ru-RU"/>
              </w:rPr>
              <w:t>федеральный бюджет</w:t>
            </w:r>
          </w:p>
        </w:tc>
        <w:tc>
          <w:tcPr>
            <w:tcW w:w="459" w:type="pct"/>
            <w:vAlign w:val="bottom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35279,5</w:t>
            </w:r>
          </w:p>
        </w:tc>
        <w:tc>
          <w:tcPr>
            <w:tcW w:w="506" w:type="pct"/>
            <w:vAlign w:val="bottom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38698,2</w:t>
            </w:r>
          </w:p>
        </w:tc>
        <w:tc>
          <w:tcPr>
            <w:tcW w:w="414" w:type="pct"/>
            <w:vAlign w:val="bottom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42174,3</w:t>
            </w:r>
          </w:p>
        </w:tc>
        <w:tc>
          <w:tcPr>
            <w:tcW w:w="426" w:type="pct"/>
            <w:vAlign w:val="bottom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168697,2</w:t>
            </w:r>
          </w:p>
        </w:tc>
        <w:tc>
          <w:tcPr>
            <w:tcW w:w="460" w:type="pct"/>
            <w:vAlign w:val="bottom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210871,5</w:t>
            </w:r>
          </w:p>
        </w:tc>
        <w:tc>
          <w:tcPr>
            <w:tcW w:w="426" w:type="pct"/>
            <w:vAlign w:val="bottom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495720,7</w:t>
            </w:r>
          </w:p>
        </w:tc>
        <w:tc>
          <w:tcPr>
            <w:tcW w:w="459" w:type="pct"/>
            <w:vAlign w:val="bottom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35279,5</w:t>
            </w:r>
          </w:p>
        </w:tc>
      </w:tr>
      <w:tr w:rsidR="00E02995" w:rsidRPr="00E02995" w:rsidTr="00E1390F">
        <w:tc>
          <w:tcPr>
            <w:tcW w:w="184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459" w:type="pct"/>
            <w:vAlign w:val="bottom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9144398,5</w:t>
            </w:r>
          </w:p>
        </w:tc>
        <w:tc>
          <w:tcPr>
            <w:tcW w:w="506" w:type="pct"/>
            <w:vAlign w:val="bottom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5289184,0</w:t>
            </w:r>
          </w:p>
        </w:tc>
        <w:tc>
          <w:tcPr>
            <w:tcW w:w="414" w:type="pct"/>
            <w:vAlign w:val="bottom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5403829,4</w:t>
            </w:r>
          </w:p>
        </w:tc>
        <w:tc>
          <w:tcPr>
            <w:tcW w:w="426" w:type="pct"/>
            <w:vAlign w:val="bottom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21614797,6</w:t>
            </w:r>
          </w:p>
        </w:tc>
        <w:tc>
          <w:tcPr>
            <w:tcW w:w="460" w:type="pct"/>
            <w:vAlign w:val="bottom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27007109,5</w:t>
            </w:r>
          </w:p>
        </w:tc>
        <w:tc>
          <w:tcPr>
            <w:tcW w:w="426" w:type="pct"/>
            <w:vAlign w:val="bottom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68459319,0</w:t>
            </w:r>
          </w:p>
        </w:tc>
        <w:tc>
          <w:tcPr>
            <w:tcW w:w="459" w:type="pct"/>
            <w:vAlign w:val="bottom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9144398,5</w:t>
            </w:r>
          </w:p>
        </w:tc>
      </w:tr>
      <w:tr w:rsidR="00E02995" w:rsidRPr="00E02995" w:rsidTr="00E1390F">
        <w:tc>
          <w:tcPr>
            <w:tcW w:w="184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0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41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46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E02995" w:rsidRPr="00E02995" w:rsidTr="00E1390F">
        <w:tc>
          <w:tcPr>
            <w:tcW w:w="184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0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41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46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E02995" w:rsidRPr="00E02995" w:rsidTr="00E1390F">
        <w:tc>
          <w:tcPr>
            <w:tcW w:w="184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iCs/>
                <w:lang w:val="en-US"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0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41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46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E02995" w:rsidRPr="00E02995" w:rsidTr="00E1390F">
        <w:tc>
          <w:tcPr>
            <w:tcW w:w="184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Справочно</w:t>
            </w:r>
            <w:proofErr w:type="spellEnd"/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: налоговые расходы Чувашской Республики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0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41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46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E02995" w:rsidRPr="00E02995" w:rsidTr="00E1390F">
        <w:tc>
          <w:tcPr>
            <w:tcW w:w="184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Ведомственный проект «Повышение финансовой грамотности населения Чувашской Республики» </w:t>
            </w:r>
            <w:r w:rsidRPr="00E0299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(«Новая финансовая культура»), </w:t>
            </w:r>
            <w:r w:rsidRPr="00E02995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всего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0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2407,5</w:t>
            </w:r>
          </w:p>
        </w:tc>
        <w:tc>
          <w:tcPr>
            <w:tcW w:w="41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2407,5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2407,5</w:t>
            </w:r>
          </w:p>
        </w:tc>
        <w:tc>
          <w:tcPr>
            <w:tcW w:w="46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9110,0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16332,5</w:t>
            </w:r>
          </w:p>
        </w:tc>
      </w:tr>
      <w:tr w:rsidR="00E02995" w:rsidRPr="00E02995" w:rsidTr="00E1390F">
        <w:tc>
          <w:tcPr>
            <w:tcW w:w="184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 том числе: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0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2407,5</w:t>
            </w:r>
          </w:p>
        </w:tc>
        <w:tc>
          <w:tcPr>
            <w:tcW w:w="41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2407,5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2407,5</w:t>
            </w:r>
          </w:p>
        </w:tc>
        <w:tc>
          <w:tcPr>
            <w:tcW w:w="46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9110,0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16332,5</w:t>
            </w:r>
          </w:p>
        </w:tc>
      </w:tr>
      <w:tr w:rsidR="00E02995" w:rsidRPr="00E02995" w:rsidTr="00E1390F">
        <w:tc>
          <w:tcPr>
            <w:tcW w:w="184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«Организация и управление бюджетным процессом и повышение его открытости»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0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5591661,8</w:t>
            </w:r>
          </w:p>
        </w:tc>
        <w:tc>
          <w:tcPr>
            <w:tcW w:w="41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3037123,8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3037123,8</w:t>
            </w:r>
          </w:p>
        </w:tc>
        <w:tc>
          <w:tcPr>
            <w:tcW w:w="46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12148495,2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15185619,0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39000023,6</w:t>
            </w:r>
          </w:p>
        </w:tc>
      </w:tr>
      <w:tr w:rsidR="00E02995" w:rsidRPr="00E02995" w:rsidTr="00E1390F">
        <w:tc>
          <w:tcPr>
            <w:tcW w:w="184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 том числе: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0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5591661,8</w:t>
            </w:r>
          </w:p>
        </w:tc>
        <w:tc>
          <w:tcPr>
            <w:tcW w:w="41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3037123,8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3037123,8</w:t>
            </w:r>
          </w:p>
        </w:tc>
        <w:tc>
          <w:tcPr>
            <w:tcW w:w="46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12148495,2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15185619,0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39000023,6</w:t>
            </w:r>
          </w:p>
        </w:tc>
      </w:tr>
      <w:tr w:rsidR="00E02995" w:rsidRPr="00E02995" w:rsidTr="00E1390F">
        <w:tc>
          <w:tcPr>
            <w:tcW w:w="184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«Повышение доходной базы республиканского бюджета Чувашской Республики»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0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02995" w:rsidRPr="00E02995" w:rsidTr="00E1390F">
        <w:tc>
          <w:tcPr>
            <w:tcW w:w="184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 том числе: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0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02995" w:rsidRPr="00E02995" w:rsidTr="00E1390F">
        <w:tc>
          <w:tcPr>
            <w:tcW w:w="184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«Осуществление мер финансовой поддержки муниципальных округов, городских округов Чувашской Республики  с целью выравнивания их бюджетной обеспеченности,   обеспечения  сбалансированности бюджетов, социально-экономического развития и исполнения делегированных полномочий»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0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2862111,4</w:t>
            </w:r>
          </w:p>
        </w:tc>
        <w:tc>
          <w:tcPr>
            <w:tcW w:w="41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1376124,0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1379600,1</w:t>
            </w:r>
          </w:p>
        </w:tc>
        <w:tc>
          <w:tcPr>
            <w:tcW w:w="46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5518400,4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6898000,5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18034236,4</w:t>
            </w:r>
          </w:p>
        </w:tc>
      </w:tr>
      <w:tr w:rsidR="00E02995" w:rsidRPr="00E02995" w:rsidTr="00E1390F">
        <w:tc>
          <w:tcPr>
            <w:tcW w:w="184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 том числе:</w:t>
            </w:r>
          </w:p>
          <w:p w:rsidR="00E02995" w:rsidRPr="00E02995" w:rsidRDefault="00E02995" w:rsidP="00E02995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0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35279,5</w:t>
            </w:r>
          </w:p>
        </w:tc>
        <w:tc>
          <w:tcPr>
            <w:tcW w:w="41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38698,2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42174,3</w:t>
            </w:r>
          </w:p>
        </w:tc>
        <w:tc>
          <w:tcPr>
            <w:tcW w:w="46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168697,2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210871,5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495720,7</w:t>
            </w:r>
          </w:p>
        </w:tc>
      </w:tr>
      <w:tr w:rsidR="00E02995" w:rsidRPr="00E02995" w:rsidTr="00E1390F">
        <w:tc>
          <w:tcPr>
            <w:tcW w:w="184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0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2826831,9</w:t>
            </w:r>
          </w:p>
        </w:tc>
        <w:tc>
          <w:tcPr>
            <w:tcW w:w="41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1337425,8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1337425,8</w:t>
            </w:r>
          </w:p>
        </w:tc>
        <w:tc>
          <w:tcPr>
            <w:tcW w:w="46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5349703,2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6687129,0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17538515,7</w:t>
            </w:r>
          </w:p>
        </w:tc>
      </w:tr>
      <w:tr w:rsidR="00E02995" w:rsidRPr="00E02995" w:rsidTr="00E1390F">
        <w:tc>
          <w:tcPr>
            <w:tcW w:w="184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«Управление государственным долгом Чувашской Республики»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0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284412,4</w:t>
            </w:r>
          </w:p>
        </w:tc>
        <w:tc>
          <w:tcPr>
            <w:tcW w:w="41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460777,6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575583,0</w:t>
            </w:r>
          </w:p>
        </w:tc>
        <w:tc>
          <w:tcPr>
            <w:tcW w:w="46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2302332,0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2877915,0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6501020,0</w:t>
            </w:r>
          </w:p>
        </w:tc>
      </w:tr>
      <w:tr w:rsidR="00E02995" w:rsidRPr="00E02995" w:rsidTr="00E1390F">
        <w:tc>
          <w:tcPr>
            <w:tcW w:w="184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 том числе: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0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284412,4</w:t>
            </w:r>
          </w:p>
        </w:tc>
        <w:tc>
          <w:tcPr>
            <w:tcW w:w="41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460777,6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575583,0</w:t>
            </w:r>
          </w:p>
        </w:tc>
        <w:tc>
          <w:tcPr>
            <w:tcW w:w="46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2302332,0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2877915,0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6501020,0</w:t>
            </w:r>
          </w:p>
        </w:tc>
      </w:tr>
      <w:tr w:rsidR="00E02995" w:rsidRPr="00E02995" w:rsidTr="00E1390F">
        <w:tc>
          <w:tcPr>
            <w:tcW w:w="184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«Обеспечение функционирования и  развитие контрактной системы в сфере закупок товаров, работ, услуг для обеспечения государственных и муниципальных нужд и государственного регулирования  цен (тарифов)»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0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85515,1</w:t>
            </w:r>
          </w:p>
        </w:tc>
        <w:tc>
          <w:tcPr>
            <w:tcW w:w="41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86368,2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86368,2</w:t>
            </w:r>
          </w:p>
        </w:tc>
        <w:tc>
          <w:tcPr>
            <w:tcW w:w="46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345472,8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431841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1035565,3</w:t>
            </w:r>
          </w:p>
        </w:tc>
      </w:tr>
      <w:tr w:rsidR="00E02995" w:rsidRPr="00E02995" w:rsidTr="00E1390F">
        <w:tc>
          <w:tcPr>
            <w:tcW w:w="184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 том числе: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0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85515,1</w:t>
            </w:r>
          </w:p>
        </w:tc>
        <w:tc>
          <w:tcPr>
            <w:tcW w:w="41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86368,2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86368,2</w:t>
            </w:r>
          </w:p>
        </w:tc>
        <w:tc>
          <w:tcPr>
            <w:tcW w:w="46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345472,8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431841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1035565,3</w:t>
            </w:r>
          </w:p>
        </w:tc>
      </w:tr>
      <w:tr w:rsidR="00E02995" w:rsidRPr="00E02995" w:rsidTr="00E1390F">
        <w:tc>
          <w:tcPr>
            <w:tcW w:w="184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«Обеспечение функционирования и развитие системы внешнего государственного (муниципального) финансового контроля»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0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56981,0</w:t>
            </w:r>
          </w:p>
        </w:tc>
        <w:tc>
          <w:tcPr>
            <w:tcW w:w="41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58131,4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58131,4</w:t>
            </w:r>
          </w:p>
        </w:tc>
        <w:tc>
          <w:tcPr>
            <w:tcW w:w="46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232525,6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290657,0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696426,4</w:t>
            </w:r>
          </w:p>
        </w:tc>
      </w:tr>
      <w:tr w:rsidR="00E02995" w:rsidRPr="00E02995" w:rsidTr="00E1390F">
        <w:tc>
          <w:tcPr>
            <w:tcW w:w="184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 том числе: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0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56981,0</w:t>
            </w:r>
          </w:p>
        </w:tc>
        <w:tc>
          <w:tcPr>
            <w:tcW w:w="41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58131,4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58131,4</w:t>
            </w:r>
          </w:p>
        </w:tc>
        <w:tc>
          <w:tcPr>
            <w:tcW w:w="46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232525,6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290657,0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696426,4</w:t>
            </w:r>
          </w:p>
        </w:tc>
      </w:tr>
      <w:tr w:rsidR="00E02995" w:rsidRPr="00E02995" w:rsidTr="00E1390F">
        <w:tc>
          <w:tcPr>
            <w:tcW w:w="184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Комплекс процессных мероприятий «Обеспечение казначейского исполнения бюджета и осуществление </w:t>
            </w:r>
            <w:proofErr w:type="gramStart"/>
            <w:r w:rsidRPr="00E02995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контроля за</w:t>
            </w:r>
            <w:proofErr w:type="gramEnd"/>
            <w:r w:rsidRPr="00E0299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использованием бюджетных средств»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0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02995" w:rsidRPr="00E02995" w:rsidTr="00E1390F">
        <w:tc>
          <w:tcPr>
            <w:tcW w:w="184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 том числе: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0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6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02995" w:rsidRPr="00E02995" w:rsidTr="00E1390F">
        <w:tc>
          <w:tcPr>
            <w:tcW w:w="184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«Обеспечение реализации государственной программы Чувашской Республики «Управление общественными финансами и  государственным долгом Чувашской Республики»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0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296588,8</w:t>
            </w:r>
          </w:p>
        </w:tc>
        <w:tc>
          <w:tcPr>
            <w:tcW w:w="41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306949,7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306789,7</w:t>
            </w:r>
          </w:p>
        </w:tc>
        <w:tc>
          <w:tcPr>
            <w:tcW w:w="46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1227158,8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1533948,5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3671435,5</w:t>
            </w:r>
          </w:p>
        </w:tc>
      </w:tr>
      <w:tr w:rsidR="00E02995" w:rsidRPr="00E02995" w:rsidTr="00E1390F">
        <w:tc>
          <w:tcPr>
            <w:tcW w:w="184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 том числе:</w:t>
            </w:r>
          </w:p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0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296588,8</w:t>
            </w:r>
          </w:p>
        </w:tc>
        <w:tc>
          <w:tcPr>
            <w:tcW w:w="414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306949,7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306789,7</w:t>
            </w:r>
          </w:p>
        </w:tc>
        <w:tc>
          <w:tcPr>
            <w:tcW w:w="460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1227158,8</w:t>
            </w:r>
          </w:p>
        </w:tc>
        <w:tc>
          <w:tcPr>
            <w:tcW w:w="426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1533948,5</w:t>
            </w:r>
          </w:p>
        </w:tc>
        <w:tc>
          <w:tcPr>
            <w:tcW w:w="459" w:type="pct"/>
          </w:tcPr>
          <w:p w:rsidR="00E02995" w:rsidRPr="00E02995" w:rsidRDefault="00E02995" w:rsidP="00E02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995">
              <w:rPr>
                <w:rFonts w:ascii="Times New Roman" w:eastAsia="Times New Roman" w:hAnsi="Times New Roman" w:cs="Times New Roman"/>
                <w:lang w:eastAsia="ru-RU"/>
              </w:rPr>
              <w:t>3671435,5</w:t>
            </w:r>
          </w:p>
        </w:tc>
      </w:tr>
    </w:tbl>
    <w:p w:rsidR="00E02995" w:rsidRPr="00E02995" w:rsidRDefault="00E02995" w:rsidP="00E0299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C73FE4" w:rsidRDefault="00AF6910" w:rsidP="00AF6910">
      <w:pPr>
        <w:jc w:val="center"/>
      </w:pPr>
      <w:r>
        <w:t>________________</w:t>
      </w:r>
      <w:bookmarkStart w:id="0" w:name="_GoBack"/>
      <w:bookmarkEnd w:id="0"/>
    </w:p>
    <w:sectPr w:rsidR="00C73FE4" w:rsidSect="00AF6910">
      <w:headerReference w:type="default" r:id="rId9"/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995" w:rsidRDefault="00E02995" w:rsidP="00E02995">
      <w:pPr>
        <w:spacing w:after="0" w:line="240" w:lineRule="auto"/>
      </w:pPr>
      <w:r>
        <w:separator/>
      </w:r>
    </w:p>
  </w:endnote>
  <w:endnote w:type="continuationSeparator" w:id="0">
    <w:p w:rsidR="00E02995" w:rsidRDefault="00E02995" w:rsidP="00E02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995" w:rsidRDefault="00E02995" w:rsidP="00E02995">
      <w:pPr>
        <w:spacing w:after="0" w:line="240" w:lineRule="auto"/>
      </w:pPr>
      <w:r>
        <w:separator/>
      </w:r>
    </w:p>
  </w:footnote>
  <w:footnote w:type="continuationSeparator" w:id="0">
    <w:p w:rsidR="00E02995" w:rsidRDefault="00E02995" w:rsidP="00E02995">
      <w:pPr>
        <w:spacing w:after="0" w:line="240" w:lineRule="auto"/>
      </w:pPr>
      <w:r>
        <w:continuationSeparator/>
      </w:r>
    </w:p>
  </w:footnote>
  <w:footnote w:id="1">
    <w:p w:rsidR="00E02995" w:rsidRPr="001010B5" w:rsidRDefault="00E02995" w:rsidP="00E02995">
      <w:pPr>
        <w:pStyle w:val="afe"/>
        <w:ind w:left="138" w:hanging="132"/>
        <w:jc w:val="both"/>
        <w:rPr>
          <w:sz w:val="18"/>
          <w:szCs w:val="18"/>
        </w:rPr>
      </w:pPr>
      <w:r>
        <w:rPr>
          <w:rStyle w:val="ac"/>
        </w:rPr>
        <w:footnoteRef/>
      </w:r>
      <w:r>
        <w:t xml:space="preserve"> </w:t>
      </w:r>
      <w:r w:rsidRPr="001010B5">
        <w:rPr>
          <w:sz w:val="18"/>
          <w:szCs w:val="18"/>
        </w:rPr>
        <w:t xml:space="preserve">Указывается уровень соответствия декомпозированного до Чувашской Республики показателя для государственной программы Чувашской Республики: «ГП» (государственной программы Чувашской Республики), </w:t>
      </w:r>
      <w:r>
        <w:rPr>
          <w:sz w:val="18"/>
          <w:szCs w:val="18"/>
        </w:rPr>
        <w:t>«</w:t>
      </w:r>
      <w:r w:rsidRPr="001010B5">
        <w:rPr>
          <w:sz w:val="18"/>
          <w:szCs w:val="18"/>
        </w:rPr>
        <w:t>ГП РФ» (государственной пр</w:t>
      </w:r>
      <w:r w:rsidRPr="001010B5">
        <w:rPr>
          <w:sz w:val="18"/>
          <w:szCs w:val="18"/>
        </w:rPr>
        <w:t>о</w:t>
      </w:r>
      <w:r>
        <w:rPr>
          <w:sz w:val="18"/>
          <w:szCs w:val="18"/>
        </w:rPr>
        <w:t>граммы Российской Федерации).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6817377"/>
      <w:docPartObj>
        <w:docPartGallery w:val="Page Numbers (Top of Page)"/>
        <w:docPartUnique/>
      </w:docPartObj>
    </w:sdtPr>
    <w:sdtContent>
      <w:p w:rsidR="00E02995" w:rsidRDefault="00E0299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6910">
          <w:rPr>
            <w:noProof/>
          </w:rPr>
          <w:t>16</w:t>
        </w:r>
        <w:r>
          <w:fldChar w:fldCharType="end"/>
        </w:r>
      </w:p>
    </w:sdtContent>
  </w:sdt>
  <w:p w:rsidR="00E02995" w:rsidRDefault="00E0299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EC1AA5"/>
    <w:multiLevelType w:val="hybridMultilevel"/>
    <w:tmpl w:val="879AC834"/>
    <w:lvl w:ilvl="0" w:tplc="B3AC7CD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F42C9C"/>
    <w:multiLevelType w:val="multilevel"/>
    <w:tmpl w:val="1C8817D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16" w:hanging="1800"/>
      </w:pPr>
      <w:rPr>
        <w:rFonts w:hint="default"/>
      </w:rPr>
    </w:lvl>
  </w:abstractNum>
  <w:abstractNum w:abstractNumId="3">
    <w:nsid w:val="155F21DD"/>
    <w:multiLevelType w:val="hybridMultilevel"/>
    <w:tmpl w:val="DC682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464E2"/>
    <w:multiLevelType w:val="hybridMultilevel"/>
    <w:tmpl w:val="76BA4AB2"/>
    <w:lvl w:ilvl="0" w:tplc="0CC2F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7D1154"/>
    <w:multiLevelType w:val="multilevel"/>
    <w:tmpl w:val="C2E44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6">
    <w:nsid w:val="29987367"/>
    <w:multiLevelType w:val="multilevel"/>
    <w:tmpl w:val="31F028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5" w:hanging="615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34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060" w:hanging="144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7">
    <w:nsid w:val="2AEF5659"/>
    <w:multiLevelType w:val="hybridMultilevel"/>
    <w:tmpl w:val="96BE9E18"/>
    <w:lvl w:ilvl="0" w:tplc="BE7400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0974F8B"/>
    <w:multiLevelType w:val="hybridMultilevel"/>
    <w:tmpl w:val="6930D080"/>
    <w:lvl w:ilvl="0" w:tplc="E8629A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5193CD8"/>
    <w:multiLevelType w:val="multilevel"/>
    <w:tmpl w:val="BA7E2C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0">
    <w:nsid w:val="3ADD6CE9"/>
    <w:multiLevelType w:val="hybridMultilevel"/>
    <w:tmpl w:val="F5C0550A"/>
    <w:lvl w:ilvl="0" w:tplc="CBBA2272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C3867A8"/>
    <w:multiLevelType w:val="hybridMultilevel"/>
    <w:tmpl w:val="E3D87148"/>
    <w:lvl w:ilvl="0" w:tplc="BA0E2F10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C735A91"/>
    <w:multiLevelType w:val="hybridMultilevel"/>
    <w:tmpl w:val="672217D8"/>
    <w:lvl w:ilvl="0" w:tplc="B06EFFBC">
      <w:start w:val="1"/>
      <w:numFmt w:val="upperRoman"/>
      <w:lvlText w:val="%1."/>
      <w:lvlJc w:val="left"/>
      <w:pPr>
        <w:ind w:left="1080" w:hanging="72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3B7A38"/>
    <w:multiLevelType w:val="hybridMultilevel"/>
    <w:tmpl w:val="4A46B21E"/>
    <w:lvl w:ilvl="0" w:tplc="C80AB4A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EF60A34"/>
    <w:multiLevelType w:val="hybridMultilevel"/>
    <w:tmpl w:val="94EA46E4"/>
    <w:lvl w:ilvl="0" w:tplc="7BB44640">
      <w:start w:val="1"/>
      <w:numFmt w:val="decimal"/>
      <w:lvlText w:val="%1)"/>
      <w:lvlJc w:val="left"/>
      <w:pPr>
        <w:ind w:left="245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>
    <w:nsid w:val="5058132E"/>
    <w:multiLevelType w:val="multilevel"/>
    <w:tmpl w:val="2CFAD99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15" w:hanging="2160"/>
      </w:pPr>
      <w:rPr>
        <w:rFonts w:hint="default"/>
      </w:rPr>
    </w:lvl>
  </w:abstractNum>
  <w:abstractNum w:abstractNumId="16">
    <w:nsid w:val="50940AF7"/>
    <w:multiLevelType w:val="hybridMultilevel"/>
    <w:tmpl w:val="B1101FE0"/>
    <w:lvl w:ilvl="0" w:tplc="FA3A3F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5BC83E36"/>
    <w:multiLevelType w:val="hybridMultilevel"/>
    <w:tmpl w:val="21065A8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6678B3"/>
    <w:multiLevelType w:val="multilevel"/>
    <w:tmpl w:val="671861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4C93A90"/>
    <w:multiLevelType w:val="multilevel"/>
    <w:tmpl w:val="BF246AE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nsid w:val="671860D9"/>
    <w:multiLevelType w:val="multilevel"/>
    <w:tmpl w:val="583EC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1">
    <w:nsid w:val="78912387"/>
    <w:multiLevelType w:val="multilevel"/>
    <w:tmpl w:val="59EAEC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2">
    <w:nsid w:val="7D6B549F"/>
    <w:multiLevelType w:val="multilevel"/>
    <w:tmpl w:val="2D825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18"/>
  </w:num>
  <w:num w:numId="5">
    <w:abstractNumId w:val="19"/>
  </w:num>
  <w:num w:numId="6">
    <w:abstractNumId w:val="16"/>
  </w:num>
  <w:num w:numId="7">
    <w:abstractNumId w:val="2"/>
  </w:num>
  <w:num w:numId="8">
    <w:abstractNumId w:val="15"/>
  </w:num>
  <w:num w:numId="9">
    <w:abstractNumId w:val="5"/>
  </w:num>
  <w:num w:numId="10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9"/>
  </w:num>
  <w:num w:numId="16">
    <w:abstractNumId w:val="20"/>
  </w:num>
  <w:num w:numId="17">
    <w:abstractNumId w:val="10"/>
  </w:num>
  <w:num w:numId="18">
    <w:abstractNumId w:val="17"/>
  </w:num>
  <w:num w:numId="19">
    <w:abstractNumId w:val="4"/>
  </w:num>
  <w:num w:numId="20">
    <w:abstractNumId w:val="8"/>
  </w:num>
  <w:num w:numId="21">
    <w:abstractNumId w:val="1"/>
  </w:num>
  <w:num w:numId="22">
    <w:abstractNumId w:val="11"/>
  </w:num>
  <w:num w:numId="23">
    <w:abstractNumId w:val="7"/>
  </w:num>
  <w:num w:numId="24">
    <w:abstractNumId w:val="22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995"/>
    <w:rsid w:val="00AF6910"/>
    <w:rsid w:val="00C73FE4"/>
    <w:rsid w:val="00E02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rsid w:val="00E02995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E02995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E02995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E02995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E02995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2995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02995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02995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02995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02995"/>
    <w:rPr>
      <w:rFonts w:ascii="XO Thames" w:eastAsia="Times New Roman" w:hAnsi="XO Thames" w:cs="Times New Roman"/>
      <w:b/>
      <w:color w:val="00000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02995"/>
  </w:style>
  <w:style w:type="paragraph" w:customStyle="1" w:styleId="ConsPlusNormal">
    <w:name w:val="ConsPlusNormal"/>
    <w:link w:val="ConsPlusNormal0"/>
    <w:qFormat/>
    <w:rsid w:val="00E029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02995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E029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rsid w:val="00E029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бычный1"/>
    <w:rsid w:val="00E02995"/>
    <w:rPr>
      <w:sz w:val="24"/>
    </w:rPr>
  </w:style>
  <w:style w:type="paragraph" w:styleId="a5">
    <w:name w:val="header"/>
    <w:basedOn w:val="a"/>
    <w:link w:val="a6"/>
    <w:uiPriority w:val="99"/>
    <w:rsid w:val="00E029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E029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aliases w:val=" Знак Знак22"/>
    <w:rsid w:val="00E02995"/>
    <w:rPr>
      <w:rFonts w:cs="Times New Roman"/>
    </w:rPr>
  </w:style>
  <w:style w:type="paragraph" w:customStyle="1" w:styleId="13">
    <w:name w:val="Основной шрифт абзаца1"/>
    <w:rsid w:val="00E02995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8">
    <w:name w:val="Balloon Text"/>
    <w:basedOn w:val="a"/>
    <w:link w:val="a9"/>
    <w:rsid w:val="00E0299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rsid w:val="00E0299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rsid w:val="00E029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E029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E02995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E02995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E02995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E02995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E02995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E02995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E02995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E02995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styleId="ac">
    <w:name w:val="footnote reference"/>
    <w:aliases w:val=" Знак Знак15"/>
    <w:rsid w:val="00E02995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character" w:styleId="ad">
    <w:name w:val="annotation reference"/>
    <w:aliases w:val=" Знак Знак14"/>
    <w:rsid w:val="00E02995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character" w:styleId="ae">
    <w:name w:val="endnote reference"/>
    <w:aliases w:val=" Знак Знак13"/>
    <w:rsid w:val="00E02995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E029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rsid w:val="00E0299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E02995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E02995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E029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2">
    <w:name w:val="Текст концевой сноски Знак"/>
    <w:basedOn w:val="a0"/>
    <w:link w:val="af1"/>
    <w:rsid w:val="00E0299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E02995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character" w:styleId="af3">
    <w:name w:val="Hyperlink"/>
    <w:aliases w:val=" Знак Знак9"/>
    <w:rsid w:val="00E02995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E029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4">
    <w:name w:val="toc 1"/>
    <w:next w:val="a"/>
    <w:link w:val="15"/>
    <w:uiPriority w:val="39"/>
    <w:rsid w:val="00E02995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5">
    <w:name w:val="Оглавление 1 Знак"/>
    <w:link w:val="14"/>
    <w:uiPriority w:val="39"/>
    <w:rsid w:val="00E02995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E02995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E02995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E02995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E02995"/>
    <w:rPr>
      <w:b/>
    </w:rPr>
  </w:style>
  <w:style w:type="character" w:customStyle="1" w:styleId="af5">
    <w:name w:val="Тема примечания Знак"/>
    <w:basedOn w:val="af0"/>
    <w:link w:val="af4"/>
    <w:rsid w:val="00E02995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E02995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E02995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E02995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E02995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E02995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E02995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E02995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E02995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E02995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E02995"/>
    <w:pPr>
      <w:overflowPunct w:val="0"/>
      <w:autoSpaceDE w:val="0"/>
      <w:autoSpaceDN w:val="0"/>
      <w:adjustRightInd w:val="0"/>
      <w:spacing w:after="0" w:line="240" w:lineRule="auto"/>
      <w:ind w:left="5760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E029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6">
    <w:name w:val="Абзац списка1"/>
    <w:basedOn w:val="a"/>
    <w:rsid w:val="00E0299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fa">
    <w:name w:val="Гипертекстовая ссылка"/>
    <w:rsid w:val="00E02995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E029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semiHidden/>
    <w:unhideWhenUsed/>
    <w:rsid w:val="00E02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rsid w:val="00E0299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E029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footnote text"/>
    <w:basedOn w:val="a"/>
    <w:link w:val="aff"/>
    <w:semiHidden/>
    <w:rsid w:val="00E029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сноски Знак"/>
    <w:basedOn w:val="a0"/>
    <w:link w:val="afe"/>
    <w:semiHidden/>
    <w:rsid w:val="00E0299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rsid w:val="00E02995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E02995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E02995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E02995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E02995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2995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02995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02995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02995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02995"/>
    <w:rPr>
      <w:rFonts w:ascii="XO Thames" w:eastAsia="Times New Roman" w:hAnsi="XO Thames" w:cs="Times New Roman"/>
      <w:b/>
      <w:color w:val="00000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02995"/>
  </w:style>
  <w:style w:type="paragraph" w:customStyle="1" w:styleId="ConsPlusNormal">
    <w:name w:val="ConsPlusNormal"/>
    <w:link w:val="ConsPlusNormal0"/>
    <w:qFormat/>
    <w:rsid w:val="00E029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02995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E029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rsid w:val="00E029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бычный1"/>
    <w:rsid w:val="00E02995"/>
    <w:rPr>
      <w:sz w:val="24"/>
    </w:rPr>
  </w:style>
  <w:style w:type="paragraph" w:styleId="a5">
    <w:name w:val="header"/>
    <w:basedOn w:val="a"/>
    <w:link w:val="a6"/>
    <w:uiPriority w:val="99"/>
    <w:rsid w:val="00E029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E029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aliases w:val=" Знак Знак22"/>
    <w:rsid w:val="00E02995"/>
    <w:rPr>
      <w:rFonts w:cs="Times New Roman"/>
    </w:rPr>
  </w:style>
  <w:style w:type="paragraph" w:customStyle="1" w:styleId="13">
    <w:name w:val="Основной шрифт абзаца1"/>
    <w:rsid w:val="00E02995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8">
    <w:name w:val="Balloon Text"/>
    <w:basedOn w:val="a"/>
    <w:link w:val="a9"/>
    <w:rsid w:val="00E0299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rsid w:val="00E0299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rsid w:val="00E029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E029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E02995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E02995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E02995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E02995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E02995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E02995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E02995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E02995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styleId="ac">
    <w:name w:val="footnote reference"/>
    <w:aliases w:val=" Знак Знак15"/>
    <w:rsid w:val="00E02995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character" w:styleId="ad">
    <w:name w:val="annotation reference"/>
    <w:aliases w:val=" Знак Знак14"/>
    <w:rsid w:val="00E02995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character" w:styleId="ae">
    <w:name w:val="endnote reference"/>
    <w:aliases w:val=" Знак Знак13"/>
    <w:rsid w:val="00E02995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E029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rsid w:val="00E0299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E02995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E02995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E029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2">
    <w:name w:val="Текст концевой сноски Знак"/>
    <w:basedOn w:val="a0"/>
    <w:link w:val="af1"/>
    <w:rsid w:val="00E0299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E02995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character" w:styleId="af3">
    <w:name w:val="Hyperlink"/>
    <w:aliases w:val=" Знак Знак9"/>
    <w:rsid w:val="00E02995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E029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4">
    <w:name w:val="toc 1"/>
    <w:next w:val="a"/>
    <w:link w:val="15"/>
    <w:uiPriority w:val="39"/>
    <w:rsid w:val="00E02995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5">
    <w:name w:val="Оглавление 1 Знак"/>
    <w:link w:val="14"/>
    <w:uiPriority w:val="39"/>
    <w:rsid w:val="00E02995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E02995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E02995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E02995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E02995"/>
    <w:rPr>
      <w:b/>
    </w:rPr>
  </w:style>
  <w:style w:type="character" w:customStyle="1" w:styleId="af5">
    <w:name w:val="Тема примечания Знак"/>
    <w:basedOn w:val="af0"/>
    <w:link w:val="af4"/>
    <w:rsid w:val="00E02995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E02995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E02995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E02995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E02995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E02995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E02995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E02995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E02995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E02995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E02995"/>
    <w:pPr>
      <w:overflowPunct w:val="0"/>
      <w:autoSpaceDE w:val="0"/>
      <w:autoSpaceDN w:val="0"/>
      <w:adjustRightInd w:val="0"/>
      <w:spacing w:after="0" w:line="240" w:lineRule="auto"/>
      <w:ind w:left="5760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E029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6">
    <w:name w:val="Абзац списка1"/>
    <w:basedOn w:val="a"/>
    <w:rsid w:val="00E0299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fa">
    <w:name w:val="Гипертекстовая ссылка"/>
    <w:rsid w:val="00E02995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E029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semiHidden/>
    <w:unhideWhenUsed/>
    <w:rsid w:val="00E02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rsid w:val="00E0299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E029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footnote text"/>
    <w:basedOn w:val="a"/>
    <w:link w:val="aff"/>
    <w:semiHidden/>
    <w:rsid w:val="00E029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сноски Знак"/>
    <w:basedOn w:val="a0"/>
    <w:link w:val="afe"/>
    <w:semiHidden/>
    <w:rsid w:val="00E0299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79222/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4496</Words>
  <Characters>25632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Ахмеева Валентина Андреевна</dc:creator>
  <cp:lastModifiedBy>Ахмеева Валентина Андреевна</cp:lastModifiedBy>
  <cp:revision>2</cp:revision>
  <dcterms:created xsi:type="dcterms:W3CDTF">2023-11-16T12:32:00Z</dcterms:created>
  <dcterms:modified xsi:type="dcterms:W3CDTF">2023-11-16T12:38:00Z</dcterms:modified>
</cp:coreProperties>
</file>